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83.png" ContentType="image/png"/>
  <Override PartName="/word/media/rId95.png" ContentType="image/png"/>
  <Override PartName="/word/media/rId71.png" ContentType="image/png"/>
  <Override PartName="/word/media/rId47.png" ContentType="image/png"/>
  <Override PartName="/word/media/rId59.png" ContentType="image/png"/>
  <Override PartName="/word/media/rId62.png" ContentType="image/png"/>
  <Override PartName="/word/media/rId92.png" ContentType="image/png"/>
  <Override PartName="/word/media/rId86.png" ContentType="image/png"/>
  <Override PartName="/word/media/rId89.png" ContentType="image/png"/>
  <Override PartName="/word/media/rId56.png" ContentType="image/png"/>
  <Override PartName="/word/media/rId65.png" ContentType="image/png"/>
  <Override PartName="/word/media/rId80.png" ContentType="image/png"/>
  <Override PartName="/word/media/rId50.png" ContentType="image/png"/>
  <Override PartName="/word/media/rId77.png" ContentType="image/png"/>
  <Override PartName="/word/media/rId101.png" ContentType="image/png"/>
  <Override PartName="/word/media/rId68.png" ContentType="image/png"/>
  <Override PartName="/word/media/rId53.png" ContentType="image/png"/>
  <Override PartName="/word/media/rId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S17;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pPr>
        <w:pStyle w:val="BodyText"/>
      </w:pPr>
      <w:r>
        <w:rPr>
          <w:i/>
          <w:iCs/>
        </w:rPr>
        <w:t xml:space="preserve">[Draft. Section structure follows the analysis workflow (run_all.R); numbers are read from the workflow outputs. Placeholders in brackets. Figures marked † are earlier renders to be restyled to the main-text palette.]</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S4).</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surface-water samples at the plot (SRS5) and a BlueFlux aquatic-transect station (SRS6). The gas-transfer velocity k600 was calibrated on the plot × campaign pairs that had both chamber water flux and dissolved CH4 (median of 7 retained pairs, 1.10 cm h−1; range 0.56–7.07, used as the uncertainty range; one pair with k600 &gt;50 cm h−1 was rejected).</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fig. S15).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are reported in fig. S6.</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run by run_all.R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S7).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+2,775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−1,150 to −770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intact-class uncertainty is dominated by the exposed-soil fraction and the scanned root area, and ghost-class uncertainty by water-surface flux variability. For net forcing, canopy leaf respiration (Rd25 and LAI) and tower GPP dominate the intact interval and the CH4 budget dominates the ghost interval (fig. S10). The intervals of the two states do not overlap: intact −5,233 to −1,939 and ghost +1,922 to +3,978 g CO2-eq m−2 yr−1 at GWP20 (−5,294 to −2,035 and +1,491 to +3,263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Assigning BL60 stem and root areas midway between the ghost and intact classes and its measured inundated share (0.33 of depth readings with standing water) gives ~33 g CH4 m−2 yr−1 (32.7 exposed to 33.3 flooded), above both ghost (~12) and intact (~1.5) forest. This first-order estimate assumes intermediate structure and rests on pooled campaigns; it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S12).</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(Ten Thousand Islands) differs from the core ghost sites in origin and hydrology. It lies within the area of mangrove impounded by a road that restricted tidal exchange for decades, where stress from impoundment was compounded by Hurricane Irma (landfall at Marco Island, 10 September 2017), and where tidal flow was restored by culverts and channels completed in early 2023</w:t>
      </w:r>
      <w:r>
        <w:t xml:space="preserve"> </w:t>
      </w:r>
      <w:r>
        <w:rPr>
          <w:i/>
          <w:iCs/>
        </w:rPr>
        <w:t xml:space="preserve">[CHECK: confirm the plot lies within the Fruit Farm Creek restoration area]</w:t>
      </w:r>
      <w:r>
        <w:t xml:space="preserve">. At both visits (March 2022 and March 2023) there was little or no standing water (0–1 cm at chambers), whereas porewater salinity was as high as at the core ghost sites (60 PSU at 40 cm). Compared within the same season, Marco Island soil CH4 (median 1.8–2.4 nmol m−2 s−1) was an order of magnitude below exposed ghost soil at FLM30 (median 17), while stem CH4 medians were similar (0.4 vs 0.6–0.7 at the core ghost sites); the core ghost sites’ high stand emission comes mainly from ponded water, which Marco Island lacked. Drained rather than ponded conditions, an older die-off with less labile carbon, and a thinner organic layer over shell and carbonate sand (Radabaugh et al. 2020) are plausible explanations; mortality after Irma was concentrated where surge water stayed ponded (Lagomasino et al. 2021). Ghost-forest methane is therefore likely to depend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degraded</w:t>
      </w:r>
      <w:r>
        <w:t xml:space="preserve"> </w:t>
      </w:r>
      <w:r>
        <w:rPr>
          <w:i/>
          <w:iCs/>
        </w:rPr>
        <w:t xml:space="preserve">Avicennia</w:t>
      </w:r>
      <w:r>
        <w:t xml:space="preserve"> </w:t>
      </w:r>
      <w:r>
        <w:t xml:space="preserve">forest in Veracruz, Mexico,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bookmarkEnd w:id="42"/>
    <w:bookmarkStart w:id="43" w:name="Xf749db9f23e8ba2aa4d0d118ca56884e53e5c65"/>
    <w:p>
      <w:pPr>
        <w:pStyle w:val="Heading2"/>
      </w:pPr>
      <w:r>
        <w:t xml:space="preserve">Text S9. Sensitivity to analytical choices</w:t>
      </w:r>
    </w:p>
    <w:p>
      <w:pPr>
        <w:pStyle w:val="FirstParagraph"/>
      </w:pPr>
      <w:r>
        <w:t xml:space="preserve">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(−2,690 to −4,310), and intact CH4 emission is clearly non-zero (0.9–2.1 g CH4 m−2 yr−1). The switch spans ~5,600–8,000 g CO2-eq m−2 yr−1 at GWP20 (~5,100–7,300 at GWP100), and ~5,100–5,500 under the plausible carbon-balance framings. The largest levers on the intact budget are canopy leaf respiration (LAI), the downed-wood volume and the flooding representation, which also decides the leading intact CH4 pathway: soils (55%)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−3,630 g CO2-eq m−2 yr−1 at GWP20 (−3,710 at GWP100), and its CH4 offsets 3% (GWP20) to 1% (GWP100) of the CO2 sink. Under the central lateral scenario (346 g C m−2 yr−1) the intact forest retains ~680 g C m−2 yr−1. With exported alkalinity retained in the ocean and the rest returned to the air, the intact sink is −2,710 g CO2-eq m−2 yr−1 at GWP20 (−2,960 to −1,710 across lateral scenarios), CH4 offsets 5% of it, and the switch is ~5,500 (~5,000 at GWP100). If all exported carbon returns to the air, the intact sink is −2,330 (−2,730 to −150)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(≈770 g C m−2 yr−1), which falls between the central and high scenarios (fig. S14).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04" w:name="supplementary-figures"/>
    <w:p>
      <w:pPr>
        <w:pStyle w:val="Heading1"/>
      </w:pPr>
      <w:r>
        <w:t xml:space="preserve">Supplementary Figures</w:t>
      </w:r>
    </w:p>
    <w:p>
      <w:pPr>
        <w:pStyle w:val="FirstParagraph"/>
      </w:pPr>
      <w:r>
        <w:drawing>
          <wp:inline>
            <wp:extent cx="5334000" cy="7577893"/>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577893"/>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designs: stem chambers at several heights, prop-root chamber, soil collar and cylinder, floating water chamber, leaf chamber and downed-wood chamber. †</w:t>
      </w:r>
    </w:p>
    <w:p>
      <w:pPr>
        <w:pStyle w:val="BodyText"/>
      </w:pPr>
      <w:r>
        <w:drawing>
          <wp:inline>
            <wp:extent cx="5334000" cy="6371166"/>
            <wp:effectExtent b="0" l="0" r="0" t="0"/>
            <wp:docPr descr="" title="" id="51" name="Picture"/>
            <a:graphic>
              <a:graphicData uri="http://schemas.openxmlformats.org/drawingml/2006/picture">
                <pic:pic>
                  <pic:nvPicPr>
                    <pic:cNvPr descr="output/figures/other/sampling_design.png" id="52" name="Picture"/>
                    <pic:cNvPicPr>
                      <a:picLocks noChangeArrowheads="1" noChangeAspect="1"/>
                    </pic:cNvPicPr>
                  </pic:nvPicPr>
                  <pic:blipFill>
                    <a:blip r:embed="rId50"/>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drawing>
          <wp:inline>
            <wp:extent cx="5334000" cy="2909454"/>
            <wp:effectExtent b="0" l="0" r="0" t="0"/>
            <wp:docPr descr="" title="" id="54" name="Picture"/>
            <a:graphic>
              <a:graphicData uri="http://schemas.openxmlformats.org/drawingml/2006/picture">
                <pic:pic>
                  <pic:nvPicPr>
                    <pic:cNvPr descr="output/figures/other/water_positions_by_campaign.png" id="55" name="Picture"/>
                    <pic:cNvPicPr>
                      <a:picLocks noChangeArrowheads="1" noChangeAspect="1"/>
                    </pic:cNvPicPr>
                  </pic:nvPicPr>
                  <pic:blipFill>
                    <a:blip r:embed="rId53"/>
                    <a:stretch>
                      <a:fillRect/>
                    </a:stretch>
                  </pic:blipFill>
                  <pic:spPr bwMode="auto">
                    <a:xfrm>
                      <a:off x="0" y="0"/>
                      <a:ext cx="5334000" cy="2909454"/>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Sampling design relative to tide and standing water. (Top) Chamber measurements by site and campaign against water level. (Bottom) Floating-chamber positions and water depth by campaign. †</w:t>
      </w:r>
    </w:p>
    <w:p>
      <w:pPr>
        <w:pStyle w:val="BodyText"/>
      </w:pPr>
      <w:r>
        <w:drawing>
          <wp:inline>
            <wp:extent cx="5334000" cy="7218307"/>
            <wp:effectExtent b="0" l="0" r="0" t="0"/>
            <wp:docPr descr="" title="" id="57" name="Picture"/>
            <a:graphic>
              <a:graphicData uri="http://schemas.openxmlformats.org/drawingml/2006/picture">
                <pic:pic>
                  <pic:nvPicPr>
                    <pic:cNvPr descr="output/figures/other/pub_component_by_plot_campaign_combined_condensed_boot.png" id="58" name="Picture"/>
                    <pic:cNvPicPr>
                      <a:picLocks noChangeArrowheads="1" noChangeAspect="1"/>
                    </pic:cNvPicPr>
                  </pic:nvPicPr>
                  <pic:blipFill>
                    <a:blip r:embed="rId56"/>
                    <a:stretch>
                      <a:fillRect/>
                    </a:stretch>
                  </pic:blipFill>
                  <pic:spPr bwMode="auto">
                    <a:xfrm>
                      <a:off x="0" y="0"/>
                      <a:ext cx="5334000" cy="7218307"/>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CH4 and CO2 flux by component for every plot and campaign, including context sites (bootstrap means and 95% CIs; individual measurements as points; inverse-hyperbolic-sine axes). †</w:t>
      </w:r>
    </w:p>
    <w:p>
      <w:pPr>
        <w:pStyle w:val="BodyText"/>
      </w:pPr>
      <w:r>
        <w:drawing>
          <wp:inline>
            <wp:extent cx="5334000" cy="4393409"/>
            <wp:effectExtent b="0" l="0" r="0" t="0"/>
            <wp:docPr descr="" title="" id="60" name="Picture"/>
            <a:graphic>
              <a:graphicData uri="http://schemas.openxmlformats.org/drawingml/2006/picture">
                <pic:pic>
                  <pic:nvPicPr>
                    <pic:cNvPr descr="output/figures/other/pub_SI_ebullition_partition.png" id="61" name="Picture"/>
                    <pic:cNvPicPr>
                      <a:picLocks noChangeArrowheads="1" noChangeAspect="1"/>
                    </pic:cNvPicPr>
                  </pic:nvPicPr>
                  <pic:blipFill>
                    <a:blip r:embed="rId59"/>
                    <a:stretch>
                      <a:fillRect/>
                    </a:stretch>
                  </pic:blipFill>
                  <pic:spPr bwMode="auto">
                    <a:xfrm>
                      <a:off x="0" y="0"/>
                      <a:ext cx="5334000" cy="4393409"/>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Ebullition. (A) Diffusive and ebullitive water-surface CH4 by site and season. (B) Example placements showing detected bubble steps, the de-ebulliated series and the diffusive fit (M7). †</w:t>
      </w:r>
    </w:p>
    <w:p>
      <w:pPr>
        <w:pStyle w:val="BodyText"/>
      </w:pPr>
      <w:r>
        <w:drawing>
          <wp:inline>
            <wp:extent cx="5334000" cy="3556000"/>
            <wp:effectExtent b="0" l="0" r="0" t="0"/>
            <wp:docPr descr="" title="" id="63" name="Picture"/>
            <a:graphic>
              <a:graphicData uri="http://schemas.openxmlformats.org/drawingml/2006/picture">
                <pic:pic>
                  <pic:nvPicPr>
                    <pic:cNvPr descr="output/figures/other/pub_SI_pneumatophore_density.png" id="64" name="Picture"/>
                    <pic:cNvPicPr>
                      <a:picLocks noChangeArrowheads="1" noChangeAspect="1"/>
                    </pic:cNvPicPr>
                  </pic:nvPicPr>
                  <pic:blipFill>
                    <a:blip r:embed="rId62"/>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Soil CH4 and CO2 flux against pneumatophore density per collar, by site (dry season). †</w:t>
      </w:r>
    </w:p>
    <w:p>
      <w:pPr>
        <w:pStyle w:val="BodyText"/>
      </w:pPr>
      <w:r>
        <w:drawing>
          <wp:inline>
            <wp:extent cx="5334000" cy="5745777"/>
            <wp:effectExtent b="0" l="0" r="0" t="0"/>
            <wp:docPr descr="" title="" id="66" name="Picture"/>
            <a:graphic>
              <a:graphicData uri="http://schemas.openxmlformats.org/drawingml/2006/picture">
                <pic:pic>
                  <pic:nvPicPr>
                    <pic:cNvPr descr="output/figures/other/pub_stem_height_composite_combined.png" id="67" name="Picture"/>
                    <pic:cNvPicPr>
                      <a:picLocks noChangeArrowheads="1" noChangeAspect="1"/>
                    </pic:cNvPicPr>
                  </pic:nvPicPr>
                  <pic:blipFill>
                    <a:blip r:embed="rId65"/>
                    <a:stretch>
                      <a:fillRect/>
                    </a:stretch>
                  </pic:blipFill>
                  <pic:spPr bwMode="auto">
                    <a:xfrm>
                      <a:off x="0" y="0"/>
                      <a:ext cx="5334000" cy="5745777"/>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Stem detail. Stem CH4 and CO2 by height category, species and live/dead status at sites with species identification; estimated marginal means (95% CI) from linear mixed-effects models (M20). †</w:t>
      </w:r>
    </w:p>
    <w:p>
      <w:pPr>
        <w:pStyle w:val="BodyText"/>
      </w:pPr>
      <w:r>
        <w:drawing>
          <wp:inline>
            <wp:extent cx="5334000" cy="3333750"/>
            <wp:effectExtent b="0" l="0" r="0" t="0"/>
            <wp:docPr descr="" title="" id="69" name="Picture"/>
            <a:graphic>
              <a:graphicData uri="http://schemas.openxmlformats.org/drawingml/2006/picture">
                <pic:pic>
                  <pic:nvPicPr>
                    <pic:cNvPr descr="output/figures/other/stem_extrap_clean.pn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drawing>
          <wp:inline>
            <wp:extent cx="5334000" cy="2843896"/>
            <wp:effectExtent b="0" l="0" r="0" t="0"/>
            <wp:docPr descr="" title="" id="72" name="Picture"/>
            <a:graphic>
              <a:graphicData uri="http://schemas.openxmlformats.org/drawingml/2006/picture">
                <pic:pic>
                  <pic:nvPicPr>
                    <pic:cNvPr descr="output/figures/other/height_extrap_sensitivity_total.png" id="73" name="Picture"/>
                    <pic:cNvPicPr>
                      <a:picLocks noChangeArrowheads="1" noChangeAspect="1"/>
                    </pic:cNvPicPr>
                  </pic:nvPicPr>
                  <pic:blipFill>
                    <a:blip r:embed="rId71"/>
                    <a:stretch>
                      <a:fillRect/>
                    </a:stretch>
                  </pic:blipFill>
                  <pic:spPr bwMode="auto">
                    <a:xfrm>
                      <a:off x="0" y="0"/>
                      <a:ext cx="5334000" cy="2843896"/>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Stem height extrapolation (text S1). (Top) Fitted exponential stem CH4 profiles by site and campaign against the measured heights. (Bottom) Stand CH4 under six extrapolation forms. †</w:t>
      </w:r>
    </w:p>
    <w:p>
      <w:pPr>
        <w:pStyle w:val="BodyText"/>
      </w:pPr>
      <w:r>
        <w:drawing>
          <wp:inline>
            <wp:extent cx="5334000" cy="2182090"/>
            <wp:effectExtent b="0" l="0" r="0" t="0"/>
            <wp:docPr descr="" title="" id="75" name="Picture"/>
            <a:graphic>
              <a:graphicData uri="http://schemas.openxmlformats.org/drawingml/2006/picture">
                <pic:pic>
                  <pic:nvPicPr>
                    <pic:cNvPr descr="output/figures/other/SA_by_segment_height_fixedY.png" id="76" name="Picture"/>
                    <pic:cNvPicPr>
                      <a:picLocks noChangeArrowheads="1" noChangeAspect="1"/>
                    </pic:cNvPicPr>
                  </pic:nvPicPr>
                  <pic:blipFill>
                    <a:blip r:embed="rId74"/>
                    <a:stretch>
                      <a:fillRect/>
                    </a:stretch>
                  </pic:blipFill>
                  <pic:spPr bwMode="auto">
                    <a:xfrm>
                      <a:off x="0" y="0"/>
                      <a:ext cx="5334000" cy="2182090"/>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Laser-scanned surface area per unit ground area by segment class (trunk, branch, prop root) and 0.5 m height bin for the four scanned plots. †</w:t>
      </w:r>
    </w:p>
    <w:p>
      <w:pPr>
        <w:pStyle w:val="BodyText"/>
      </w:pPr>
      <w:r>
        <w:drawing>
          <wp:inline>
            <wp:extent cx="5334000" cy="2310948"/>
            <wp:effectExtent b="0" l="0" r="0" t="0"/>
            <wp:docPr descr="" title="" id="78" name="Picture"/>
            <a:graphic>
              <a:graphicData uri="http://schemas.openxmlformats.org/drawingml/2006/picture">
                <pic:pic>
                  <pic:nvPicPr>
                    <pic:cNvPr descr="output/figures/other/scenario_comparison.png" id="79" name="Picture"/>
                    <pic:cNvPicPr>
                      <a:picLocks noChangeArrowheads="1" noChangeAspect="1"/>
                    </pic:cNvPicPr>
                  </pic:nvPicPr>
                  <pic:blipFill>
                    <a:blip r:embed="rId77"/>
                    <a:stretch>
                      <a:fillRect/>
                    </a:stretch>
                  </pic:blipFill>
                  <pic:spPr bwMode="auto">
                    <a:xfrm>
                      <a:off x="0" y="0"/>
                      <a:ext cx="5334000" cy="2310948"/>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Stand CH4 under tide and inundation representations (text S2; table S10). †</w:t>
      </w:r>
    </w:p>
    <w:p>
      <w:pPr>
        <w:pStyle w:val="BodyText"/>
      </w:pPr>
      <w:r>
        <w:drawing>
          <wp:inline>
            <wp:extent cx="5334000" cy="3046847"/>
            <wp:effectExtent b="0" l="0" r="0" t="0"/>
            <wp:docPr descr="" title="" id="81" name="Picture"/>
            <a:graphic>
              <a:graphicData uri="http://schemas.openxmlformats.org/drawingml/2006/picture">
                <pic:pic>
                  <pic:nvPicPr>
                    <pic:cNvPr descr="output/figures/other/pub_uncertainty_decomp.png" id="82" name="Picture"/>
                    <pic:cNvPicPr>
                      <a:picLocks noChangeArrowheads="1" noChangeAspect="1"/>
                    </pic:cNvPicPr>
                  </pic:nvPicPr>
                  <pic:blipFill>
                    <a:blip r:embed="rId80"/>
                    <a:stretch>
                      <a:fillRect/>
                    </a:stretch>
                  </pic:blipFill>
                  <pic:spPr bwMode="auto">
                    <a:xfrm>
                      <a:off x="0" y="0"/>
                      <a:ext cx="5334000" cy="3046847"/>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Monte Carlo uncertainty: contribution of each input to the variance of stand CH4 and net forcing (text S4). †</w:t>
      </w:r>
    </w:p>
    <w:p>
      <w:pPr>
        <w:pStyle w:val="BodyText"/>
      </w:pPr>
      <w:r>
        <w:drawing>
          <wp:inline>
            <wp:extent cx="5334000" cy="3852333"/>
            <wp:effectExtent b="0" l="0" r="0" t="0"/>
            <wp:docPr descr="" title="" id="84" name="Picture"/>
            <a:graphic>
              <a:graphicData uri="http://schemas.openxmlformats.org/drawingml/2006/picture">
                <pic:pic>
                  <pic:nvPicPr>
                    <pic:cNvPr descr="output/figures/other/ed_porewater_rounds.png" id="85" name="Picture"/>
                    <pic:cNvPicPr>
                      <a:picLocks noChangeArrowheads="1" noChangeAspect="1"/>
                    </pic:cNvPicPr>
                  </pic:nvPicPr>
                  <pic:blipFill>
                    <a:blip r:embed="rId83"/>
                    <a:stretch>
                      <a:fillRect/>
                    </a:stretch>
                  </pic:blipFill>
                  <pic:spPr bwMode="auto">
                    <a:xfrm>
                      <a:off x="0" y="0"/>
                      <a:ext cx="5334000" cy="3852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Porewater dissolved CH4 (A) and salinity (B) by site, sampling round (October 2022, March 2023, October 2025) and depth, including FLM30.</w:t>
      </w:r>
    </w:p>
    <w:p>
      <w:pPr>
        <w:pStyle w:val="BodyText"/>
      </w:pPr>
      <w:r>
        <w:drawing>
          <wp:inline>
            <wp:extent cx="5334000" cy="4191691"/>
            <wp:effectExtent b="0" l="0" r="0" t="0"/>
            <wp:docPr descr="" title="" id="87" name="Picture"/>
            <a:graphic>
              <a:graphicData uri="http://schemas.openxmlformats.org/drawingml/2006/picture">
                <pic:pic>
                  <pic:nvPicPr>
                    <pic:cNvPr descr="output/figures/other/pub_SI_ta_vs_dic.png" id="88" name="Picture"/>
                    <pic:cNvPicPr>
                      <a:picLocks noChangeArrowheads="1" noChangeAspect="1"/>
                    </pic:cNvPicPr>
                  </pic:nvPicPr>
                  <pic:blipFill>
                    <a:blip r:embed="rId86"/>
                    <a:stretch>
                      <a:fillRect/>
                    </a:stretch>
                  </pic:blipFill>
                  <pic:spPr bwMode="auto">
                    <a:xfrm>
                      <a:off x="0" y="0"/>
                      <a:ext cx="5334000" cy="4191691"/>
                    </a:xfrm>
                    <a:prstGeom prst="rect">
                      <a:avLst/>
                    </a:prstGeom>
                    <a:noFill/>
                    <a:ln w="9525">
                      <a:noFill/>
                      <a:headEnd/>
                      <a:tailEnd/>
                    </a:ln>
                  </pic:spPr>
                </pic:pic>
              </a:graphicData>
            </a:graphic>
          </wp:inline>
        </w:drawing>
      </w:r>
    </w:p>
    <w:p>
      <w:pPr>
        <w:pStyle w:val="BodyText"/>
      </w:pPr>
      <w:r>
        <w:drawing>
          <wp:inline>
            <wp:extent cx="5334000" cy="3668007"/>
            <wp:effectExtent b="0" l="0" r="0" t="0"/>
            <wp:docPr descr="" title="" id="90" name="Picture"/>
            <a:graphic>
              <a:graphicData uri="http://schemas.openxmlformats.org/drawingml/2006/picture">
                <pic:pic>
                  <pic:nvPicPr>
                    <pic:cNvPr descr="output/figures/other/pub_SI_ta_vs_salinity.png" id="91" name="Picture"/>
                    <pic:cNvPicPr>
                      <a:picLocks noChangeArrowheads="1" noChangeAspect="1"/>
                    </pic:cNvPicPr>
                  </pic:nvPicPr>
                  <pic:blipFill>
                    <a:blip r:embed="rId89"/>
                    <a:stretch>
                      <a:fillRect/>
                    </a:stretch>
                  </pic:blipFill>
                  <pic:spPr bwMode="auto">
                    <a:xfrm>
                      <a:off x="0" y="0"/>
                      <a:ext cx="5334000" cy="3668007"/>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Porewater carbonate chemistry (October 2025): total alkalinity against calculated DIC and against salinity, with conservative-mixing references (text S7). †</w:t>
      </w:r>
    </w:p>
    <w:p>
      <w:pPr>
        <w:pStyle w:val="BodyText"/>
      </w:pPr>
      <w:r>
        <w:drawing>
          <wp:inline>
            <wp:extent cx="5334000" cy="1778000"/>
            <wp:effectExtent b="0" l="0" r="0" t="0"/>
            <wp:docPr descr="" title="" id="93" name="Picture"/>
            <a:graphic>
              <a:graphicData uri="http://schemas.openxmlformats.org/drawingml/2006/picture">
                <pic:pic>
                  <pic:nvPicPr>
                    <pic:cNvPr descr="output/figures/other/pub_SI_salinity_vs_ch4_bysite.png" id="94" name="Picture"/>
                    <pic:cNvPicPr>
                      <a:picLocks noChangeArrowheads="1" noChangeAspect="1"/>
                    </pic:cNvPicPr>
                  </pic:nvPicPr>
                  <pic:blipFill>
                    <a:blip r:embed="rId92"/>
                    <a:stretch>
                      <a:fillRect/>
                    </a:stretch>
                  </pic:blipFill>
                  <pic:spPr bwMode="auto">
                    <a:xfrm>
                      <a:off x="0" y="0"/>
                      <a:ext cx="5334000" cy="1778000"/>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Porewater salinity against dissolved CH4 by site, all sampling rounds. †</w:t>
      </w:r>
    </w:p>
    <w:p>
      <w:pPr>
        <w:pStyle w:val="BodyText"/>
      </w:pPr>
      <w:r>
        <w:drawing>
          <wp:inline>
            <wp:extent cx="5334000" cy="4889500"/>
            <wp:effectExtent b="0" l="0" r="0" t="0"/>
            <wp:docPr descr="" title="" id="96" name="Picture"/>
            <a:graphic>
              <a:graphicData uri="http://schemas.openxmlformats.org/drawingml/2006/picture">
                <pic:pic>
                  <pic:nvPicPr>
                    <pic:cNvPr descr="output/figures/other/fig_carbon_budget.png" id="97" name="Picture"/>
                    <pic:cNvPicPr>
                      <a:picLocks noChangeArrowheads="1" noChangeAspect="1"/>
                    </pic:cNvPicPr>
                  </pic:nvPicPr>
                  <pic:blipFill>
                    <a:blip r:embed="rId95"/>
                    <a:stretch>
                      <a:fillRect/>
                    </a:stretch>
                  </pic:blipFill>
                  <pic:spPr bwMode="auto">
                    <a:xfrm>
                      <a:off x="0" y="0"/>
                      <a:ext cx="5334000" cy="4889500"/>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Carbon and methane budgets. (A) Carbon flows in intact and ghost forest on one scale (g C m−2 yr−1): GPP (tower), respiration and CH4 by component (chambers × scanned area), lateral export (DIC, DOC, POC, dissolved CH4) and storage (burial, wood increment) from the literature for intact forest, and the closure residual (M18; text S10). (B) Methane budget by pathway (g CH4 m−2 yr−1; diamonds, bottom-up total with Monte Carlo 95% interval), lateral dissolved CH4 export (intact), and the airborne mean of four 2022–2023 deployments (triangles, ±1.96 SE; daytime).</w:t>
      </w:r>
    </w:p>
    <w:p>
      <w:pPr>
        <w:pStyle w:val="BodyText"/>
      </w:pPr>
      <w:r>
        <w:drawing>
          <wp:inline>
            <wp:extent cx="5334000" cy="3200400"/>
            <wp:effectExtent b="0" l="0" r="0" t="0"/>
            <wp:docPr descr="" title="" id="99" name="Picture"/>
            <a:graphic>
              <a:graphicData uri="http://schemas.openxmlformats.org/drawingml/2006/picture">
                <pic:pic>
                  <pic:nvPicPr>
                    <pic:cNvPr descr="output/gpp/plots/US-Skr_GPP_mean_diurnal_cycle.png" id="100" name="Picture"/>
                    <pic:cNvPicPr>
                      <a:picLocks noChangeArrowheads="1" noChangeAspect="1"/>
                    </pic:cNvPicPr>
                  </pic:nvPicPr>
                  <pic:blipFill>
                    <a:blip r:embed="rId9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US-Skr tower: mean diurnal cycle of partitioned GPP during the campaign months (M14). †</w:t>
      </w:r>
    </w:p>
    <w:p>
      <w:pPr>
        <w:pStyle w:val="BodyText"/>
      </w:pPr>
      <w:r>
        <w:drawing>
          <wp:inline>
            <wp:extent cx="5334000" cy="3840480"/>
            <wp:effectExtent b="0" l="0" r="0" t="0"/>
            <wp:docPr descr="" title="" id="102" name="Picture"/>
            <a:graphic>
              <a:graphicData uri="http://schemas.openxmlformats.org/drawingml/2006/picture">
                <pic:pic>
                  <pic:nvPicPr>
                    <pic:cNvPr descr="output/figures/other/site_closure_comparison.png" id="103" name="Picture"/>
                    <pic:cNvPicPr>
                      <a:picLocks noChangeArrowheads="1" noChangeAspect="1"/>
                    </pic:cNvPicPr>
                  </pic:nvPicPr>
                  <pic:blipFill>
                    <a:blip r:embed="rId101"/>
                    <a:stretch>
                      <a:fillRect/>
                    </a:stretch>
                  </pic:blipFill>
                  <pic:spPr bwMode="auto">
                    <a:xfrm>
                      <a:off x="0" y="0"/>
                      <a:ext cx="5334000" cy="384048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Per-site closure: bottom-up stand CH4 and CO2 by site and campaign beside the airborne class values. †</w:t>
      </w:r>
    </w:p>
    <w:p>
      <w:pPr>
        <w:pStyle w:val="BodyText"/>
      </w:pPr>
      <w:r>
        <w:rPr>
          <w:b/>
          <w:bCs/>
        </w:rPr>
        <w:t xml:space="preserve">Fig. S17.</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04"/>
    <w:bookmarkStart w:id="105" w:name="supplementary-tables"/>
    <w:p>
      <w:pPr>
        <w:pStyle w:val="Heading1"/>
      </w:pPr>
      <w:r>
        <w:t xml:space="preserve">Supplementary Tables</w:t>
      </w:r>
    </w:p>
    <w:p>
      <w:pPr>
        <w:pStyle w:val="FirstParagraph"/>
      </w:pPr>
      <w:r>
        <w:rPr>
          <w:b/>
          <w:bCs/>
        </w:rPr>
        <w:t xml:space="preserve">Table S1. Study sites.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Name</w:t>
            </w:r>
          </w:p>
        </w:tc>
        <w:tc>
          <w:tcPr/>
          <w:p>
            <w:pPr>
              <w:pStyle w:val="Compact"/>
            </w:pPr>
            <w:r>
              <w:t xml:space="preserve">Class</w:t>
            </w:r>
          </w:p>
        </w:tc>
        <w:tc>
          <w:tcPr/>
          <w:p>
            <w:pPr>
              <w:pStyle w:val="Compact"/>
            </w:pPr>
            <w:r>
              <w:t xml:space="preserve">Latitude</w:t>
            </w:r>
          </w:p>
        </w:tc>
        <w:tc>
          <w:tcPr/>
          <w:p>
            <w:pPr>
              <w:pStyle w:val="Compact"/>
            </w:pPr>
            <w:r>
              <w:t xml:space="preserve">Longitude</w:t>
            </w:r>
          </w:p>
        </w:tc>
        <w:tc>
          <w:tcPr/>
          <w:p>
            <w:pPr>
              <w:pStyle w:val="Compact"/>
            </w:pPr>
            <w:r>
              <w:t xml:space="preserve">Dominant species</w:t>
            </w:r>
          </w:p>
        </w:tc>
      </w:tr>
      <w:tr>
        <w:tc>
          <w:tcPr/>
          <w:p>
            <w:pPr>
              <w:pStyle w:val="Compact"/>
            </w:pPr>
            <w:r>
              <w:t xml:space="preserve">FLM30</w:t>
            </w:r>
          </w:p>
        </w:tc>
        <w:tc>
          <w:tcPr/>
          <w:p>
            <w:pPr>
              <w:pStyle w:val="Compact"/>
            </w:pPr>
            <w:r>
              <w:t xml:space="preserve">Flamingo</w:t>
            </w:r>
          </w:p>
        </w:tc>
        <w:tc>
          <w:tcPr/>
          <w:p>
            <w:pPr>
              <w:pStyle w:val="Compact"/>
            </w:pPr>
            <w:r>
              <w:t xml:space="preserve">ghost (core)</w:t>
            </w:r>
          </w:p>
        </w:tc>
        <w:tc>
          <w:tcPr/>
          <w:p>
            <w:pPr>
              <w:pStyle w:val="Compact"/>
            </w:pPr>
            <w:r>
              <w:t xml:space="preserve">25.15989</w:t>
            </w:r>
          </w:p>
        </w:tc>
        <w:tc>
          <w:tcPr/>
          <w:p>
            <w:pPr>
              <w:pStyle w:val="Compact"/>
            </w:pPr>
            <w:r>
              <w:t xml:space="preserve">-80.91197</w:t>
            </w:r>
          </w:p>
        </w:tc>
        <w:tc>
          <w:tcPr/>
          <w:p>
            <w:pPr>
              <w:pStyle w:val="Compact"/>
            </w:pPr>
            <w:r>
              <w:t xml:space="preserve">Avicennia germinans, Conocarpus erectus</w:t>
            </w:r>
          </w:p>
        </w:tc>
      </w:tr>
      <w:tr>
        <w:tc>
          <w:tcPr/>
          <w:p>
            <w:pPr>
              <w:pStyle w:val="Compact"/>
            </w:pPr>
            <w:r>
              <w:t xml:space="preserve">CP40</w:t>
            </w:r>
          </w:p>
        </w:tc>
        <w:tc>
          <w:tcPr/>
          <w:p>
            <w:pPr>
              <w:pStyle w:val="Compact"/>
            </w:pPr>
            <w:r>
              <w:t xml:space="preserve">Christian Point</w:t>
            </w:r>
          </w:p>
        </w:tc>
        <w:tc>
          <w:tcPr/>
          <w:p>
            <w:pPr>
              <w:pStyle w:val="Compact"/>
            </w:pPr>
            <w:r>
              <w:t xml:space="preserve">ghost (core)</w:t>
            </w:r>
          </w:p>
        </w:tc>
        <w:tc>
          <w:tcPr/>
          <w:p>
            <w:pPr>
              <w:pStyle w:val="Compact"/>
            </w:pPr>
            <w:r>
              <w:t xml:space="preserve">25.14932</w:t>
            </w:r>
          </w:p>
        </w:tc>
        <w:tc>
          <w:tcPr/>
          <w:p>
            <w:pPr>
              <w:pStyle w:val="Compact"/>
            </w:pPr>
            <w:r>
              <w:t xml:space="preserve">-80.91102</w:t>
            </w:r>
          </w:p>
        </w:tc>
        <w:tc>
          <w:tcPr/>
          <w:p>
            <w:pPr>
              <w:pStyle w:val="Compact"/>
            </w:pPr>
            <w:r>
              <w:t xml:space="preserve">Avicennia germinans</w:t>
            </w:r>
          </w:p>
        </w:tc>
      </w:tr>
      <w:tr>
        <w:tc>
          <w:tcPr/>
          <w:p>
            <w:pPr>
              <w:pStyle w:val="Compact"/>
            </w:pPr>
            <w:r>
              <w:t xml:space="preserve">BL60</w:t>
            </w:r>
          </w:p>
        </w:tc>
        <w:tc>
          <w:tcPr/>
          <w:p>
            <w:pPr>
              <w:pStyle w:val="Compact"/>
            </w:pPr>
            <w:r>
              <w:t xml:space="preserve">Bear Lake</w:t>
            </w:r>
          </w:p>
        </w:tc>
        <w:tc>
          <w:tcPr/>
          <w:p>
            <w:pPr>
              <w:pStyle w:val="Compact"/>
            </w:pPr>
            <w:r>
              <w:t xml:space="preserve">regenerating (core)</w:t>
            </w:r>
          </w:p>
        </w:tc>
        <w:tc>
          <w:tcPr/>
          <w:p>
            <w:pPr>
              <w:pStyle w:val="Compact"/>
            </w:pPr>
            <w:r>
              <w:t xml:space="preserve">25.15783</w:t>
            </w:r>
          </w:p>
        </w:tc>
        <w:tc>
          <w:tcPr/>
          <w:p>
            <w:pPr>
              <w:pStyle w:val="Compact"/>
            </w:pPr>
            <w:r>
              <w:t xml:space="preserve">-80.92320</w:t>
            </w:r>
          </w:p>
        </w:tc>
        <w:tc>
          <w:tcPr/>
          <w:p>
            <w:pPr>
              <w:pStyle w:val="Compact"/>
            </w:pPr>
            <w:r>
              <w:t xml:space="preserve">Rhizophora mangle, Avicennia germinans</w:t>
            </w:r>
          </w:p>
        </w:tc>
      </w:tr>
      <w:tr>
        <w:tc>
          <w:tcPr/>
          <w:p>
            <w:pPr>
              <w:pStyle w:val="Compact"/>
            </w:pPr>
            <w:r>
              <w:t xml:space="preserve">SE1</w:t>
            </w:r>
          </w:p>
        </w:tc>
        <w:tc>
          <w:tcPr/>
          <w:p>
            <w:pPr>
              <w:pStyle w:val="Compact"/>
            </w:pPr>
            <w:r>
              <w:t xml:space="preserve">SE-1 / US-EvM</w:t>
            </w:r>
          </w:p>
        </w:tc>
        <w:tc>
          <w:tcPr/>
          <w:p>
            <w:pPr>
              <w:pStyle w:val="Compact"/>
            </w:pPr>
            <w:r>
              <w:t xml:space="preserve">scrub (context)</w:t>
            </w:r>
          </w:p>
        </w:tc>
        <w:tc>
          <w:tcPr/>
          <w:p>
            <w:pPr>
              <w:pStyle w:val="Compact"/>
            </w:pPr>
            <w:r>
              <w:t xml:space="preserve">25.35310</w:t>
            </w:r>
          </w:p>
        </w:tc>
        <w:tc>
          <w:tcPr/>
          <w:p>
            <w:pPr>
              <w:pStyle w:val="Compact"/>
            </w:pPr>
            <w:r>
              <w:t xml:space="preserve">-80.38071</w:t>
            </w:r>
          </w:p>
        </w:tc>
        <w:tc>
          <w:tcPr/>
          <w:p>
            <w:pPr>
              <w:pStyle w:val="Compact"/>
            </w:pPr>
            <w:r>
              <w:t xml:space="preserve">Rhizophora mangle, Avicennia germinans</w:t>
            </w:r>
          </w:p>
        </w:tc>
      </w:tr>
      <w:tr>
        <w:tc>
          <w:tcPr/>
          <w:p>
            <w:pPr>
              <w:pStyle w:val="Compact"/>
            </w:pPr>
            <w:r>
              <w:t xml:space="preserve">MI</w:t>
            </w:r>
          </w:p>
        </w:tc>
        <w:tc>
          <w:tcPr/>
          <w:p>
            <w:pPr>
              <w:pStyle w:val="Compact"/>
            </w:pPr>
            <w:r>
              <w:t xml:space="preserve">Marco Island</w:t>
            </w:r>
          </w:p>
        </w:tc>
        <w:tc>
          <w:tcPr/>
          <w:p>
            <w:pPr>
              <w:pStyle w:val="Compact"/>
            </w:pPr>
            <w:r>
              <w:t xml:space="preserve">ghost (context)</w:t>
            </w:r>
          </w:p>
        </w:tc>
        <w:tc>
          <w:tcPr/>
          <w:p>
            <w:pPr>
              <w:pStyle w:val="Compact"/>
            </w:pPr>
            <w:r>
              <w:t xml:space="preserve">25.93033</w:t>
            </w:r>
          </w:p>
        </w:tc>
        <w:tc>
          <w:tcPr/>
          <w:p>
            <w:pPr>
              <w:pStyle w:val="Compact"/>
            </w:pPr>
            <w:r>
              <w:t xml:space="preserve">-81.67251</w:t>
            </w:r>
          </w:p>
        </w:tc>
        <w:tc>
          <w:tcPr/>
          <w:p>
            <w:pPr>
              <w:pStyle w:val="Compact"/>
            </w:pPr>
            <w:r>
              <w:t xml:space="preserve">Avicennia germinans</w:t>
            </w:r>
          </w:p>
        </w:tc>
      </w:tr>
      <w:tr>
        <w:tc>
          <w:tcPr/>
          <w:p>
            <w:pPr>
              <w:pStyle w:val="Compact"/>
            </w:pPr>
            <w:r>
              <w:t xml:space="preserve">RB10</w:t>
            </w:r>
          </w:p>
        </w:tc>
        <w:tc>
          <w:tcPr/>
          <w:p>
            <w:pPr>
              <w:pStyle w:val="Compact"/>
            </w:pPr>
            <w:r>
              <w:t xml:space="preserve">Rookery Bay</w:t>
            </w:r>
          </w:p>
        </w:tc>
        <w:tc>
          <w:tcPr/>
          <w:p>
            <w:pPr>
              <w:pStyle w:val="Compact"/>
            </w:pPr>
            <w:r>
              <w:t xml:space="preserve">intact (context)</w:t>
            </w:r>
          </w:p>
        </w:tc>
        <w:tc>
          <w:tcPr/>
          <w:p>
            <w:pPr>
              <w:pStyle w:val="Compact"/>
            </w:pPr>
            <w:r>
              <w:t xml:space="preserve">25.86289</w:t>
            </w:r>
          </w:p>
        </w:tc>
        <w:tc>
          <w:tcPr/>
          <w:p>
            <w:pPr>
              <w:pStyle w:val="Compact"/>
            </w:pPr>
            <w:r>
              <w:t xml:space="preserve">-81.56119</w:t>
            </w:r>
          </w:p>
        </w:tc>
        <w:tc>
          <w:tcPr/>
          <w:p>
            <w:pPr>
              <w:pStyle w:val="Compact"/>
            </w:pPr>
            <w:r>
              <w:t xml:space="preserve">Rhizophora mangle</w:t>
            </w:r>
          </w:p>
        </w:tc>
      </w:tr>
      <w:tr>
        <w:tc>
          <w:tcPr/>
          <w:p>
            <w:pPr>
              <w:pStyle w:val="Compact"/>
            </w:pPr>
            <w:r>
              <w:t xml:space="preserve">SRS5</w:t>
            </w:r>
          </w:p>
        </w:tc>
        <w:tc>
          <w:tcPr/>
          <w:p>
            <w:pPr>
              <w:pStyle w:val="Compact"/>
            </w:pPr>
            <w:r>
              <w:t xml:space="preserve">Gunboat Island / SRS5</w:t>
            </w:r>
          </w:p>
        </w:tc>
        <w:tc>
          <w:tcPr/>
          <w:p>
            <w:pPr>
              <w:pStyle w:val="Compact"/>
            </w:pPr>
            <w:r>
              <w:t xml:space="preserve">intact (core)</w:t>
            </w:r>
          </w:p>
        </w:tc>
        <w:tc>
          <w:tcPr/>
          <w:p>
            <w:pPr>
              <w:pStyle w:val="Compact"/>
            </w:pPr>
            <w:r>
              <w:t xml:space="preserve">25.37702</w:t>
            </w:r>
          </w:p>
        </w:tc>
        <w:tc>
          <w:tcPr/>
          <w:p>
            <w:pPr>
              <w:pStyle w:val="Compact"/>
            </w:pPr>
            <w:r>
              <w:t xml:space="preserve">-81.03235</w:t>
            </w:r>
          </w:p>
        </w:tc>
        <w:tc>
          <w:tcPr/>
          <w:p>
            <w:pPr>
              <w:pStyle w:val="Compact"/>
            </w:pPr>
            <w:r>
              <w:t xml:space="preserve">Rhizophora mangle</w:t>
            </w:r>
          </w:p>
        </w:tc>
      </w:tr>
      <w:tr>
        <w:tc>
          <w:tcPr/>
          <w:p>
            <w:pPr>
              <w:pStyle w:val="Compact"/>
            </w:pPr>
            <w:r>
              <w:t xml:space="preserve">SRS6</w:t>
            </w:r>
          </w:p>
        </w:tc>
        <w:tc>
          <w:tcPr/>
          <w:p>
            <w:pPr>
              <w:pStyle w:val="Compact"/>
            </w:pPr>
            <w:r>
              <w:t xml:space="preserve">Lower Shark / SRS6</w:t>
            </w:r>
          </w:p>
        </w:tc>
        <w:tc>
          <w:tcPr/>
          <w:p>
            <w:pPr>
              <w:pStyle w:val="Compact"/>
            </w:pPr>
            <w:r>
              <w:t xml:space="preserve">intact (core)</w:t>
            </w:r>
          </w:p>
        </w:tc>
        <w:tc>
          <w:tcPr/>
          <w:p>
            <w:pPr>
              <w:pStyle w:val="Compact"/>
            </w:pPr>
            <w:r>
              <w:t xml:space="preserve">25.36463</w:t>
            </w:r>
          </w:p>
        </w:tc>
        <w:tc>
          <w:tcPr/>
          <w:p>
            <w:pPr>
              <w:pStyle w:val="Compact"/>
            </w:pPr>
            <w:r>
              <w:t xml:space="preserve">-81.07795</w:t>
            </w:r>
          </w:p>
        </w:tc>
        <w:tc>
          <w:tcPr/>
          <w:p>
            <w:pPr>
              <w:pStyle w:val="Compact"/>
            </w:pPr>
            <w:r>
              <w:t xml:space="preserve">Rhizophora mangle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33.43)</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3.94)</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(-2.28 to -0.37)</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(-3.32 to -1.23)</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(0.39 to 2.14)</w:t>
            </w:r>
          </w:p>
        </w:tc>
        <w:tc>
          <w:tcPr/>
          <w:p>
            <w:pPr>
              <w:pStyle w:val="Compact"/>
            </w:pPr>
            <w:r>
              <w:t xml:space="preserve">2.26 (1.23 to 3.60)</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(0.61 to 14.61)</w:t>
            </w:r>
          </w:p>
        </w:tc>
        <w:tc>
          <w:tcPr/>
          <w:p>
            <w:pPr>
              <w:pStyle w:val="Compact"/>
            </w:pPr>
            <w:r>
              <w:t xml:space="preserve">2.17 (1.18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3.09)</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5.23)</w:t>
            </w:r>
          </w:p>
        </w:tc>
        <w:tc>
          <w:tcPr/>
          <w:p>
            <w:pPr>
              <w:pStyle w:val="Compact"/>
            </w:pPr>
            <w:r>
              <w:t xml:space="preserve">0.54 (0.06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(4.91 to 21.09)</w:t>
            </w:r>
          </w:p>
        </w:tc>
        <w:tc>
          <w:tcPr/>
          <w:p>
            <w:pPr>
              <w:pStyle w:val="Compact"/>
            </w:pPr>
            <w:r>
              <w:t xml:space="preserve">1.49 (0.94 to 2.02)</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2.13)</w:t>
            </w:r>
          </w:p>
        </w:tc>
        <w:tc>
          <w:tcPr/>
          <w:p>
            <w:pPr>
              <w:pStyle w:val="Compact"/>
            </w:pPr>
            <w:r>
              <w:t xml:space="preserve">1.29 (1.03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(5.67 to 21.37)</w:t>
            </w:r>
          </w:p>
        </w:tc>
        <w:tc>
          <w:tcPr/>
          <w:p>
            <w:pPr>
              <w:pStyle w:val="Compact"/>
            </w:pPr>
            <w:r>
              <w:t xml:space="preserve">1.97 (1.01 to 3.03)</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(27.58 to 93.44)</w:t>
            </w:r>
          </w:p>
        </w:tc>
        <w:tc>
          <w:tcPr/>
          <w:p>
            <w:pPr>
              <w:pStyle w:val="Compact"/>
            </w:pPr>
            <w:r>
              <w:t xml:space="preserve">8.70 (6.77 to 10.75)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(4.62 to 10.74)</w:t>
            </w:r>
          </w:p>
        </w:tc>
        <w:tc>
          <w:tcPr/>
          <w:p>
            <w:pPr>
              <w:pStyle w:val="Compact"/>
            </w:pPr>
            <w:r>
              <w:t xml:space="preserve">1.84 (1.42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(8.70 to 30.81)</w:t>
            </w:r>
          </w:p>
        </w:tc>
        <w:tc>
          <w:tcPr/>
          <w:p>
            <w:pPr>
              <w:pStyle w:val="Compact"/>
            </w:pPr>
            <w:r>
              <w:t xml:space="preserve">2.70 (2.21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0.62)</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(0.40 to 2.14)</w:t>
            </w:r>
          </w:p>
        </w:tc>
        <w:tc>
          <w:tcPr/>
          <w:p>
            <w:pPr>
              <w:pStyle w:val="Compact"/>
            </w:pPr>
            <w:r>
              <w:t xml:space="preserve">3.74 (3.16 to 4.36)</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(7.30 to 80.66)</w:t>
            </w:r>
          </w:p>
        </w:tc>
        <w:tc>
          <w:tcPr/>
          <w:p>
            <w:pPr>
              <w:pStyle w:val="Compact"/>
            </w:pPr>
            <w:r>
              <w:t xml:space="preserve">7.33 (5.37 to 9.71)</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0.69)</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(5.33 to 7.43)</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(22.10 to 63.80)</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(0.51 to 1.20)</w:t>
            </w:r>
          </w:p>
        </w:tc>
        <w:tc>
          <w:tcPr/>
          <w:p>
            <w:pPr>
              <w:pStyle w:val="Compact"/>
            </w:pPr>
            <w:r>
              <w:t xml:space="preserve">1.37 (1.15 to 1.58)</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88.21)</w:t>
            </w:r>
          </w:p>
        </w:tc>
        <w:tc>
          <w:tcPr/>
          <w:p>
            <w:pPr>
              <w:pStyle w:val="Compact"/>
            </w:pPr>
            <w:r>
              <w:t xml:space="preserve">2.06 (1.70 to 2.48)</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977.6</w:t>
            </w:r>
          </w:p>
        </w:tc>
        <w:tc>
          <w:tcPr/>
          <w:p>
            <w:pPr>
              <w:pStyle w:val="Compact"/>
            </w:pPr>
            <w:r>
              <w:t xml:space="preserve">19.6</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11.5</w:t>
            </w:r>
          </w:p>
        </w:tc>
      </w:tr>
      <w:tr>
        <w:tc>
          <w:tcPr/>
          <w:p>
            <w:pPr>
              <w:pStyle w:val="Compact"/>
            </w:pPr>
            <w:r>
              <w:t xml:space="preserve">smooth</w:t>
            </w:r>
          </w:p>
        </w:tc>
        <w:tc>
          <w:tcPr/>
          <w:p>
            <w:pPr>
              <w:pStyle w:val="Compact"/>
            </w:pPr>
            <w:r>
              <w:t xml:space="preserve">990.3</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0.733</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1.042</w:t>
            </w:r>
          </w:p>
        </w:tc>
        <w:tc>
          <w:tcPr/>
          <w:p>
            <w:pPr>
              <w:pStyle w:val="Compact"/>
            </w:pPr>
            <w:r>
              <w:t xml:space="preserve">0.160</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-0.081</w:t>
            </w:r>
          </w:p>
        </w:tc>
        <w:tc>
          <w:tcPr/>
          <w:p>
            <w:pPr>
              <w:pStyle w:val="Compact"/>
            </w:pPr>
            <w:r>
              <w:t xml:space="preserve">0.127</w:t>
            </w:r>
          </w:p>
        </w:tc>
        <w:tc>
          <w:tcPr/>
          <w:p>
            <w:pPr>
              <w:pStyle w:val="Compact"/>
            </w:pPr>
            <w:r>
              <w:t xml:space="preserve">0.523</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0.937</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-1.443</w:t>
            </w:r>
          </w:p>
        </w:tc>
        <w:tc>
          <w:tcPr/>
          <w:p>
            <w:pPr>
              <w:pStyle w:val="Compact"/>
            </w:pPr>
            <w:r>
              <w:t xml:space="preserve">0.149</w:t>
            </w:r>
          </w:p>
        </w:tc>
      </w:tr>
      <w:tr>
        <w:tc>
          <w:tcPr/>
          <w:p>
            <w:pPr>
              <w:pStyle w:val="Compact"/>
            </w:pPr>
            <w:r>
              <w:t xml:space="preserve">spCOER</w:t>
            </w:r>
          </w:p>
        </w:tc>
        <w:tc>
          <w:tcPr/>
          <w:p>
            <w:pPr>
              <w:pStyle w:val="Compact"/>
            </w:pPr>
            <w:r>
              <w:t xml:space="preserve">-0.557</w:t>
            </w:r>
          </w:p>
        </w:tc>
        <w:tc>
          <w:tcPr/>
          <w:p>
            <w:pPr>
              <w:pStyle w:val="Compact"/>
            </w:pPr>
            <w:r>
              <w:t xml:space="preserve">0.257</w:t>
            </w:r>
          </w:p>
        </w:tc>
        <w:tc>
          <w:tcPr/>
          <w:p>
            <w:pPr>
              <w:pStyle w:val="Compact"/>
            </w:pPr>
            <w:r>
              <w:t xml:space="preserve">-2.170</w:t>
            </w:r>
          </w:p>
        </w:tc>
        <w:tc>
          <w:tcPr/>
          <w:p>
            <w:pPr>
              <w:pStyle w:val="Compact"/>
            </w:pPr>
            <w:r>
              <w:t xml:space="preserve">0.030</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-1.610</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70.14</w:t>
            </w:r>
          </w:p>
        </w:tc>
        <w:tc>
          <w:tcPr/>
          <w:p>
            <w:pPr>
              <w:pStyle w:val="Compact"/>
            </w:pPr>
            <w:r>
              <w:t xml:space="preserve">0.26</w:t>
            </w:r>
          </w:p>
        </w:tc>
        <w:tc>
          <w:tcPr/>
          <w:p>
            <w:pPr>
              <w:pStyle w:val="Compact"/>
            </w:pPr>
            <w:r>
              <w:t xml:space="preserve">70.73</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0.02</w:t>
            </w:r>
          </w:p>
        </w:tc>
        <w:tc>
          <w:tcPr/>
          <w:p>
            <w:pPr>
              <w:pStyle w:val="Compact"/>
            </w:pPr>
            <w:r>
              <w:t xml:space="preserve">8.24</w:t>
            </w:r>
          </w:p>
        </w:tc>
        <w:tc>
          <w:tcPr/>
          <w:p>
            <w:pPr>
              <w:pStyle w:val="Compact"/>
            </w:pPr>
            <w:r>
              <w:t xml:space="preserve">5.92</w:t>
            </w:r>
          </w:p>
        </w:tc>
        <w:tc>
          <w:tcPr/>
          <w:p>
            <w:pPr>
              <w:pStyle w:val="Compact"/>
            </w:pPr>
            <w:r>
              <w:t xml:space="preserve">-0.01</w:t>
            </w:r>
          </w:p>
        </w:tc>
        <w:tc>
          <w:tcPr/>
          <w:p>
            <w:pPr>
              <w:pStyle w:val="Compact"/>
            </w:pPr>
            <w:r>
              <w:t xml:space="preserve">14.33</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28.81</w:t>
            </w:r>
          </w:p>
        </w:tc>
        <w:tc>
          <w:tcPr/>
          <w:p>
            <w:pPr>
              <w:pStyle w:val="Compact"/>
            </w:pPr>
            <w:r>
              <w:t xml:space="preserve">0.00</w:t>
            </w:r>
          </w:p>
        </w:tc>
        <w:tc>
          <w:tcPr/>
          <w:p>
            <w:pPr>
              <w:pStyle w:val="Compact"/>
            </w:pPr>
            <w:r>
              <w:t xml:space="preserve">28.98</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8.18</w:t>
            </w:r>
          </w:p>
        </w:tc>
        <w:tc>
          <w:tcPr/>
          <w:p>
            <w:pPr>
              <w:pStyle w:val="Compact"/>
            </w:pPr>
            <w:r>
              <w:t xml:space="preserve">-0.02</w:t>
            </w:r>
          </w:p>
        </w:tc>
        <w:tc>
          <w:tcPr/>
          <w:p>
            <w:pPr>
              <w:pStyle w:val="Compact"/>
            </w:pPr>
            <w:r>
              <w:t xml:space="preserve">16.35</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0.41</w:t>
            </w:r>
          </w:p>
        </w:tc>
        <w:tc>
          <w:tcPr/>
          <w:p>
            <w:pPr>
              <w:pStyle w:val="Compact"/>
            </w:pPr>
            <w:r>
              <w:t xml:space="preserve">0.10</w:t>
            </w:r>
          </w:p>
        </w:tc>
        <w:tc>
          <w:tcPr/>
          <w:p>
            <w:pPr>
              <w:pStyle w:val="Compact"/>
            </w:pPr>
            <w:r>
              <w:t xml:space="preserve">1.42</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0.41</w:t>
            </w:r>
          </w:p>
        </w:tc>
        <w:tc>
          <w:tcPr/>
          <w:p>
            <w:pPr>
              <w:pStyle w:val="Compact"/>
            </w:pPr>
            <w:r>
              <w:t xml:space="preserve">0.29</w:t>
            </w:r>
          </w:p>
        </w:tc>
        <w:tc>
          <w:tcPr/>
          <w:p>
            <w:pPr>
              <w:pStyle w:val="Compact"/>
            </w:pPr>
            <w:r>
              <w:t xml:space="preserve">0.29</w:t>
            </w:r>
          </w:p>
        </w:tc>
        <w:tc>
          <w:tcPr/>
          <w:p>
            <w:pPr>
              <w:pStyle w:val="Compact"/>
            </w:pPr>
            <w:r>
              <w:t xml:space="preserve">0.04</w:t>
            </w:r>
          </w:p>
        </w:tc>
        <w:tc>
          <w:tcPr/>
          <w:p>
            <w:pPr>
              <w:pStyle w:val="Compact"/>
            </w:pPr>
            <w:r>
              <w:t xml:space="preserve">1.07</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5.78</w:t>
            </w:r>
          </w:p>
        </w:tc>
        <w:tc>
          <w:tcPr/>
          <w:p>
            <w:pPr>
              <w:pStyle w:val="Compact"/>
            </w:pPr>
            <w:r>
              <w:t xml:space="preserve">0.60</w:t>
            </w:r>
          </w:p>
        </w:tc>
        <w:tc>
          <w:tcPr/>
          <w:p>
            <w:pPr>
              <w:pStyle w:val="Compact"/>
            </w:pPr>
            <w:r>
              <w:t xml:space="preserve">0.08</w:t>
            </w:r>
          </w:p>
        </w:tc>
        <w:tc>
          <w:tcPr/>
          <w:p>
            <w:pPr>
              <w:pStyle w:val="Compact"/>
            </w:pPr>
            <w:r>
              <w:t xml:space="preserve">10.32</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3.53</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0.35</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0.63</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5.30</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0.27</w:t>
            </w:r>
          </w:p>
        </w:tc>
        <w:tc>
          <w:tcPr/>
          <w:p>
            <w:pPr>
              <w:pStyle w:val="Compact"/>
            </w:pPr>
            <w:r>
              <w:t xml:space="preserve">0.51</w:t>
            </w:r>
          </w:p>
        </w:tc>
        <w:tc>
          <w:tcPr/>
          <w:p>
            <w:pPr>
              <w:pStyle w:val="Compact"/>
            </w:pPr>
            <w:r>
              <w:t xml:space="preserve">2.00</w:t>
            </w:r>
          </w:p>
        </w:tc>
        <w:tc>
          <w:tcPr/>
          <w:p>
            <w:pPr>
              <w:pStyle w:val="Compact"/>
            </w:pPr>
            <w:r>
              <w:t xml:space="preserve">4.52</w:t>
            </w:r>
          </w:p>
        </w:tc>
        <w:tc>
          <w:tcPr/>
          <w:p>
            <w:pPr>
              <w:pStyle w:val="Compact"/>
            </w:pPr>
            <w:r>
              <w:t xml:space="preserve">7.12</w:t>
            </w:r>
          </w:p>
        </w:tc>
        <w:tc>
          <w:tcPr/>
          <w:p>
            <w:pPr>
              <w:pStyle w:val="Compact"/>
            </w:pPr>
            <w:r>
              <w:t xml:space="preserve">-2.60</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0.38</w:t>
            </w:r>
          </w:p>
        </w:tc>
        <w:tc>
          <w:tcPr/>
          <w:p>
            <w:pPr>
              <w:pStyle w:val="Compact"/>
            </w:pPr>
            <w:r>
              <w:t xml:space="preserve">0.34</w:t>
            </w:r>
          </w:p>
        </w:tc>
        <w:tc>
          <w:tcPr/>
          <w:p>
            <w:pPr>
              <w:pStyle w:val="Compact"/>
            </w:pPr>
            <w:r>
              <w:t xml:space="preserve">2.00</w:t>
            </w:r>
          </w:p>
        </w:tc>
        <w:tc>
          <w:tcPr/>
          <w:p>
            <w:pPr>
              <w:pStyle w:val="Compact"/>
            </w:pPr>
            <w:r>
              <w:t xml:space="preserve">5.11</w:t>
            </w:r>
          </w:p>
        </w:tc>
        <w:tc>
          <w:tcPr/>
          <w:p>
            <w:pPr>
              <w:pStyle w:val="Compact"/>
            </w:pPr>
            <w:r>
              <w:t xml:space="preserve">7.12</w:t>
            </w:r>
          </w:p>
        </w:tc>
        <w:tc>
          <w:tcPr/>
          <w:p>
            <w:pPr>
              <w:pStyle w:val="Compact"/>
            </w:pPr>
            <w:r>
              <w:t xml:space="preserve">-2.01</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50.71 (26.10 to 85.52)</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20.82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4.77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(0.32 to 1.15)</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(0.87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0.48 (0.24 to 3.08)</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15.58 (0.87 to 43.48)</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15.90 (7.97 to 28.34)</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0.59 (0.30 to 3.79)</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0.85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5.31 (4.11 to 6.58)</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0.60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7.28 (5.90 to 8.84)</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-0.11 (-0.74 to 0.29)</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1.25 (0.40 to 2.72)</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(0.12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0.71 (0.09 to 1.57)</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3.56 (2.25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0.65)</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1.49</w:t>
            </w:r>
          </w:p>
        </w:tc>
        <w:tc>
          <w:tcPr/>
          <w:p>
            <w:pPr>
              <w:pStyle w:val="Compact"/>
            </w:pPr>
            <w:r>
              <w:t xml:space="preserve">-3 755</w:t>
            </w:r>
          </w:p>
        </w:tc>
        <w:tc>
          <w:tcPr/>
          <w:p>
            <w:pPr>
              <w:pStyle w:val="Compact"/>
            </w:pPr>
            <w:r>
              <w:t xml:space="preserve">-3 634</w:t>
            </w:r>
          </w:p>
        </w:tc>
        <w:tc>
          <w:tcPr/>
          <w:p>
            <w:pPr>
              <w:pStyle w:val="Compact"/>
            </w:pPr>
            <w:r>
              <w:t xml:space="preserve">-5 233 to -1 939</w:t>
            </w:r>
          </w:p>
        </w:tc>
        <w:tc>
          <w:tcPr/>
          <w:p>
            <w:pPr>
              <w:pStyle w:val="Compact"/>
            </w:pPr>
            <w:r>
              <w:t xml:space="preserve">-3 713</w:t>
            </w:r>
          </w:p>
        </w:tc>
        <w:tc>
          <w:tcPr/>
          <w:p>
            <w:pPr>
              <w:pStyle w:val="Compact"/>
            </w:pPr>
            <w:r>
              <w:t xml:space="preserve">-5 294 to -2 035</w:t>
            </w:r>
          </w:p>
        </w:tc>
        <w:tc>
          <w:tcPr/>
          <w:p>
            <w:pPr>
              <w:pStyle w:val="Compact"/>
            </w:pPr>
            <w:r>
              <w:t xml:space="preserve">-3 743</w:t>
            </w:r>
          </w:p>
        </w:tc>
        <w:tc>
          <w:tcPr/>
          <w:p>
            <w:pPr>
              <w:pStyle w:val="Compact"/>
            </w:pPr>
            <w:r>
              <w:t xml:space="preserve">3.1%</w:t>
            </w:r>
          </w:p>
        </w:tc>
      </w:tr>
      <w:tr>
        <w:tc>
          <w:tcPr/>
          <w:p>
            <w:pPr>
              <w:pStyle w:val="Compact"/>
            </w:pPr>
            <w:r>
              <w:t xml:space="preserve">ghost</w:t>
            </w:r>
          </w:p>
        </w:tc>
        <w:tc>
          <w:tcPr/>
          <w:p>
            <w:pPr>
              <w:pStyle w:val="Compact"/>
            </w:pPr>
            <w:r>
              <w:t xml:space="preserve">11.90</w:t>
            </w:r>
          </w:p>
        </w:tc>
        <w:tc>
          <w:tcPr/>
          <w:p>
            <w:pPr>
              <w:pStyle w:val="Compact"/>
            </w:pPr>
            <w:r>
              <w:t xml:space="preserve">1 809</w:t>
            </w:r>
          </w:p>
        </w:tc>
        <w:tc>
          <w:tcPr/>
          <w:p>
            <w:pPr>
              <w:pStyle w:val="Compact"/>
            </w:pPr>
            <w:r>
              <w:t xml:space="preserve">2 775</w:t>
            </w:r>
          </w:p>
        </w:tc>
        <w:tc>
          <w:tcPr/>
          <w:p>
            <w:pPr>
              <w:pStyle w:val="Compact"/>
            </w:pPr>
            <w:r>
              <w:t xml:space="preserve">1 922 to 3 978</w:t>
            </w:r>
          </w:p>
        </w:tc>
        <w:tc>
          <w:tcPr/>
          <w:p>
            <w:pPr>
              <w:pStyle w:val="Compact"/>
            </w:pPr>
            <w:r>
              <w:t xml:space="preserve">2 141</w:t>
            </w:r>
          </w:p>
        </w:tc>
        <w:tc>
          <w:tcPr/>
          <w:p>
            <w:pPr>
              <w:pStyle w:val="Compact"/>
            </w:pPr>
            <w:r>
              <w:t xml:space="preserve">1 491 to 3 263</w:t>
            </w:r>
          </w:p>
        </w:tc>
        <w:tc>
          <w:tcPr/>
          <w:p>
            <w:pPr>
              <w:pStyle w:val="Compact"/>
            </w:pPr>
            <w:r>
              <w:t xml:space="preserve">3 136</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 Source:</w:t>
      </w:r>
      <w:r>
        <w:t xml:space="preserve"> </w:t>
      </w:r>
      <w:r>
        <w:rPr>
          <w:rStyle w:val="VerbatimChar"/>
        </w:rPr>
        <w:t xml:space="preserve">output/qa/sensitivity_summary.csv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2,775 [2,141]</w:t>
            </w:r>
          </w:p>
        </w:tc>
        <w:tc>
          <w:tcPr/>
          <w:p>
            <w:pPr>
              <w:pStyle w:val="Compact"/>
            </w:pPr>
            <w:r>
              <w:t xml:space="preserve">6,409 [5,854]</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6,913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3,184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2,775 [2,141]</w:t>
            </w:r>
          </w:p>
        </w:tc>
        <w:tc>
          <w:tcPr/>
          <w:p>
            <w:pPr>
              <w:pStyle w:val="Compact"/>
            </w:pPr>
            <w:r>
              <w:t xml:space="preserve">6,036 [5,508]</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2,775 [2,141]</w:t>
            </w:r>
          </w:p>
        </w:tc>
        <w:tc>
          <w:tcPr/>
          <w:p>
            <w:pPr>
              <w:pStyle w:val="Compact"/>
            </w:pPr>
            <w:r>
              <w:t xml:space="preserve">7,089 [6,504]</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2,775 [2,141]</w:t>
            </w:r>
          </w:p>
        </w:tc>
        <w:tc>
          <w:tcPr/>
          <w:p>
            <w:pPr>
              <w:pStyle w:val="Compact"/>
            </w:pPr>
            <w:r>
              <w:t xml:space="preserve">6,178 [5,647]</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2,775 [2,141]</w:t>
            </w:r>
          </w:p>
        </w:tc>
        <w:tc>
          <w:tcPr/>
          <w:p>
            <w:pPr>
              <w:pStyle w:val="Compact"/>
            </w:pPr>
            <w:r>
              <w:t xml:space="preserve">6,238 [5,692]</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2,775 [2,141]</w:t>
            </w:r>
          </w:p>
        </w:tc>
        <w:tc>
          <w:tcPr/>
          <w:p>
            <w:pPr>
              <w:pStyle w:val="Compact"/>
            </w:pPr>
            <w:r>
              <w:t xml:space="preserve">6,568 [6,005]</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2,775 [2,141]</w:t>
            </w:r>
          </w:p>
        </w:tc>
        <w:tc>
          <w:tcPr/>
          <w:p>
            <w:pPr>
              <w:pStyle w:val="Compact"/>
            </w:pPr>
            <w:r>
              <w:t xml:space="preserve">5,829 [5,310]</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−3,641 [−3,715]</w:t>
            </w:r>
          </w:p>
        </w:tc>
        <w:tc>
          <w:tcPr/>
          <w:p>
            <w:pPr>
              <w:pStyle w:val="Compact"/>
            </w:pPr>
            <w:r>
              <w:t xml:space="preserve">2,775 [2,141]</w:t>
            </w:r>
          </w:p>
        </w:tc>
        <w:tc>
          <w:tcPr/>
          <w:p>
            <w:pPr>
              <w:pStyle w:val="Compact"/>
            </w:pPr>
            <w:r>
              <w:t xml:space="preserve">6,415 [5,856]</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−3,616 [−3,707]</w:t>
            </w:r>
          </w:p>
        </w:tc>
        <w:tc>
          <w:tcPr/>
          <w:p>
            <w:pPr>
              <w:pStyle w:val="Compact"/>
            </w:pPr>
            <w:r>
              <w:t xml:space="preserve">2,775 [2,141]</w:t>
            </w:r>
          </w:p>
        </w:tc>
        <w:tc>
          <w:tcPr/>
          <w:p>
            <w:pPr>
              <w:pStyle w:val="Compact"/>
            </w:pPr>
            <w:r>
              <w:t xml:space="preserve">6,391 [5,848]</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−3,597 [−3,700]</w:t>
            </w:r>
          </w:p>
        </w:tc>
        <w:tc>
          <w:tcPr/>
          <w:p>
            <w:pPr>
              <w:pStyle w:val="Compact"/>
            </w:pPr>
            <w:r>
              <w:t xml:space="preserve">3,068 [2,242]</w:t>
            </w:r>
          </w:p>
        </w:tc>
        <w:tc>
          <w:tcPr/>
          <w:p>
            <w:pPr>
              <w:pStyle w:val="Compact"/>
            </w:pPr>
            <w:r>
              <w:t xml:space="preserve">6,665 [5,942]</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2,460 [1,899]</w:t>
            </w:r>
          </w:p>
        </w:tc>
        <w:tc>
          <w:tcPr/>
          <w:p>
            <w:pPr>
              <w:pStyle w:val="Compact"/>
            </w:pPr>
            <w:r>
              <w:t xml:space="preserve">6,094 [5,612]</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2,562 [1,977]</w:t>
            </w:r>
          </w:p>
        </w:tc>
        <w:tc>
          <w:tcPr/>
          <w:p>
            <w:pPr>
              <w:pStyle w:val="Compact"/>
            </w:pPr>
            <w:r>
              <w:t xml:space="preserve">6,195 [5,690]</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3,356 [2,699]</w:t>
            </w:r>
          </w:p>
        </w:tc>
        <w:tc>
          <w:tcPr/>
          <w:p>
            <w:pPr>
              <w:pStyle w:val="Compact"/>
            </w:pPr>
            <w:r>
              <w:t xml:space="preserve">6,990 [6,412]</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2,401 [1,830]</w:t>
            </w:r>
          </w:p>
        </w:tc>
        <w:tc>
          <w:tcPr/>
          <w:p>
            <w:pPr>
              <w:pStyle w:val="Compact"/>
            </w:pPr>
            <w:r>
              <w:t xml:space="preserve">6,035 [5,543]</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3,138 [2,457]</w:t>
            </w:r>
          </w:p>
        </w:tc>
        <w:tc>
          <w:tcPr/>
          <w:p>
            <w:pPr>
              <w:pStyle w:val="Compact"/>
            </w:pPr>
            <w:r>
              <w:t xml:space="preserve">6,772 [6,170]</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2,476 [1,946]</w:t>
            </w:r>
          </w:p>
        </w:tc>
        <w:tc>
          <w:tcPr/>
          <w:p>
            <w:pPr>
              <w:pStyle w:val="Compact"/>
            </w:pPr>
            <w:r>
              <w:t xml:space="preserve">6,110 [5,659]</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2,689 [2,111]</w:t>
            </w:r>
          </w:p>
        </w:tc>
        <w:tc>
          <w:tcPr/>
          <w:p>
            <w:pPr>
              <w:pStyle w:val="Compact"/>
            </w:pPr>
            <w:r>
              <w:t xml:space="preserve">6,323 [5,824]</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−3,634 [−3,713]</w:t>
            </w:r>
          </w:p>
        </w:tc>
        <w:tc>
          <w:tcPr/>
          <w:p>
            <w:pPr>
              <w:pStyle w:val="Compact"/>
            </w:pPr>
            <w:r>
              <w:t xml:space="preserve">4,362 [3,633]</w:t>
            </w:r>
          </w:p>
        </w:tc>
        <w:tc>
          <w:tcPr/>
          <w:p>
            <w:pPr>
              <w:pStyle w:val="Compact"/>
            </w:pPr>
            <w:r>
              <w:t xml:space="preserve">7,996 [7,346]</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−1,203</w:t>
            </w:r>
          </w:p>
        </w:tc>
        <w:tc>
          <w:tcPr/>
          <w:p>
            <w:pPr>
              <w:pStyle w:val="Compact"/>
            </w:pPr>
            <w:r>
              <w:t xml:space="preserve">−4,287 [−4,366]</w:t>
            </w:r>
          </w:p>
        </w:tc>
        <w:tc>
          <w:tcPr/>
          <w:p>
            <w:pPr>
              <w:pStyle w:val="Compact"/>
            </w:pPr>
            <w:r>
              <w:t xml:space="preserve">2,775 [2,141]</w:t>
            </w:r>
          </w:p>
        </w:tc>
        <w:tc>
          <w:tcPr/>
          <w:p>
            <w:pPr>
              <w:pStyle w:val="Compact"/>
            </w:pPr>
            <w:r>
              <w:t xml:space="preserve">7,062 [6,507]</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−811</w:t>
            </w:r>
          </w:p>
        </w:tc>
        <w:tc>
          <w:tcPr/>
          <w:p>
            <w:pPr>
              <w:pStyle w:val="Compact"/>
            </w:pPr>
            <w:r>
              <w:t xml:space="preserve">−2,851 [−2,930]</w:t>
            </w:r>
          </w:p>
        </w:tc>
        <w:tc>
          <w:tcPr/>
          <w:p>
            <w:pPr>
              <w:pStyle w:val="Compact"/>
            </w:pPr>
            <w:r>
              <w:t xml:space="preserve">2,775 [2,141]</w:t>
            </w:r>
          </w:p>
        </w:tc>
        <w:tc>
          <w:tcPr/>
          <w:p>
            <w:pPr>
              <w:pStyle w:val="Compact"/>
            </w:pPr>
            <w:r>
              <w:t xml:space="preserve">5,626 [5,071]</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−2,709 [−2,814]</w:t>
            </w:r>
          </w:p>
        </w:tc>
        <w:tc>
          <w:tcPr/>
          <w:p>
            <w:pPr>
              <w:pStyle w:val="Compact"/>
            </w:pPr>
            <w:r>
              <w:t xml:space="preserve">2,775 [2,141]</w:t>
            </w:r>
          </w:p>
        </w:tc>
        <w:tc>
          <w:tcPr/>
          <w:p>
            <w:pPr>
              <w:pStyle w:val="Compact"/>
            </w:pPr>
            <w:r>
              <w:t xml:space="preserve">5,484 [4,954]</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−2,328 [−2,432]</w:t>
            </w:r>
          </w:p>
        </w:tc>
        <w:tc>
          <w:tcPr/>
          <w:p>
            <w:pPr>
              <w:pStyle w:val="Compact"/>
            </w:pPr>
            <w:r>
              <w:t xml:space="preserve">2,775 [2,141]</w:t>
            </w:r>
          </w:p>
        </w:tc>
        <w:tc>
          <w:tcPr/>
          <w:p>
            <w:pPr>
              <w:pStyle w:val="Compact"/>
            </w:pPr>
            <w:r>
              <w:t xml:space="preserve">5,103 [4,573]</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2,775 [2,141]</w:t>
            </w:r>
          </w:p>
        </w:tc>
        <w:tc>
          <w:tcPr/>
          <w:p>
            <w:pPr>
              <w:pStyle w:val="Compact"/>
            </w:pPr>
            <w:r>
              <w:t xml:space="preserve">3,585 [3,030]</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−5233 to −1939 [−5294 to −2035]</w:t>
            </w:r>
          </w:p>
        </w:tc>
        <w:tc>
          <w:tcPr/>
          <w:p>
            <w:pPr>
              <w:pStyle w:val="Compact"/>
            </w:pPr>
            <w:r>
              <w:t xml:space="preserve">1922 to 3978 [1491 to 3263]</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5.74 (2.50 to 8.33)</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55.38 (26.69 to 90.92)</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14.20 (3.12 to 33.19)</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57.13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(-0.07 to 6.32)</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14.11 (7.43 to 23.02)</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21.22 (8.80 to 38.01)</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30.70 (12.59 to 55.67)</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11.17 (5.81 to 18.81)</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10.62 (7.33 to 15.10)</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(2.11 to 3.05)</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0.90)</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1.04 (0.48 to 1.66)</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3.24 (1.33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(0.12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1.65)</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0.90)</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(0.69 to 24.94)</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11.82 (6.14 to 20.75)</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0.44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0.667 (0.402 to 0.958)</w:t>
            </w:r>
          </w:p>
        </w:tc>
        <w:tc>
          <w:tcPr/>
          <w:p>
            <w:pPr>
              <w:pStyle w:val="Compact"/>
            </w:pPr>
            <w:r>
              <w:t xml:space="preserve">0.609</w:t>
            </w:r>
          </w:p>
        </w:tc>
        <w:tc>
          <w:tcPr/>
          <w:p>
            <w:pPr>
              <w:pStyle w:val="Compact"/>
            </w:pPr>
            <w:r>
              <w:t xml:space="preserve">0.716</w:t>
            </w:r>
          </w:p>
        </w:tc>
        <w:tc>
          <w:tcPr/>
          <w:p>
            <w:pPr>
              <w:pStyle w:val="Compact"/>
            </w:pPr>
            <w:r>
              <w:t xml:space="preserve">1.083 (0.334 to 1.838)</w:t>
            </w:r>
          </w:p>
        </w:tc>
      </w:tr>
      <w:tr>
        <w:tc>
          <w:tcPr/>
          <w:p>
            <w:pPr>
              <w:pStyle w:val="Compact"/>
            </w:pPr>
            <w:r>
              <w:t xml:space="preserve">United States</w:t>
            </w:r>
          </w:p>
        </w:tc>
        <w:tc>
          <w:tcPr/>
          <w:p>
            <w:pPr>
              <w:pStyle w:val="Compact"/>
            </w:pPr>
            <w:r>
              <w:t xml:space="preserve">60.09</w:t>
            </w:r>
          </w:p>
        </w:tc>
        <w:tc>
          <w:tcPr/>
          <w:p>
            <w:pPr>
              <w:pStyle w:val="Compact"/>
            </w:pPr>
            <w:r>
              <w:t xml:space="preserve">0.385 (0.232 to 0.554)</w:t>
            </w:r>
          </w:p>
        </w:tc>
        <w:tc>
          <w:tcPr/>
          <w:p>
            <w:pPr>
              <w:pStyle w:val="Compact"/>
            </w:pPr>
            <w:r>
              <w:t xml:space="preserve">0.352</w:t>
            </w:r>
          </w:p>
        </w:tc>
        <w:tc>
          <w:tcPr/>
          <w:p>
            <w:pPr>
              <w:pStyle w:val="Compact"/>
            </w:pPr>
            <w:r>
              <w:t xml:space="preserve">0.413</w:t>
            </w:r>
          </w:p>
        </w:tc>
        <w:tc>
          <w:tcPr/>
          <w:p>
            <w:pPr>
              <w:pStyle w:val="Compact"/>
            </w:pPr>
            <w:r>
              <w:t xml:space="preserve">0.625 (0.193 to 1.061)</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0.096)</w:t>
            </w:r>
          </w:p>
        </w:tc>
      </w:tr>
      <w:tr>
        <w:tc>
          <w:tcPr/>
          <w:p>
            <w:pPr>
              <w:pStyle w:val="Compact"/>
            </w:pPr>
            <w:r>
              <w:t xml:space="preserve">Venezuela</w:t>
            </w:r>
          </w:p>
        </w:tc>
        <w:tc>
          <w:tcPr/>
          <w:p>
            <w:pPr>
              <w:pStyle w:val="Compact"/>
            </w:pPr>
            <w:r>
              <w:t xml:space="preserve">2.51</w:t>
            </w:r>
          </w:p>
        </w:tc>
        <w:tc>
          <w:tcPr/>
          <w:p>
            <w:pPr>
              <w:pStyle w:val="Compact"/>
            </w:pPr>
            <w:r>
              <w:t xml:space="preserve">0.016 (0.010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1.111 (0.670 to 1.598)</w:t>
            </w:r>
          </w:p>
        </w:tc>
        <w:tc>
          <w:tcPr/>
          <w:p>
            <w:pPr>
              <w:pStyle w:val="Compact"/>
            </w:pPr>
            <w:r>
              <w:t xml:space="preserve">1.015</w:t>
            </w:r>
          </w:p>
        </w:tc>
        <w:tc>
          <w:tcPr/>
          <w:p>
            <w:pPr>
              <w:pStyle w:val="Compact"/>
            </w:pPr>
            <w:r>
              <w:t xml:space="preserve">1.193</w:t>
            </w:r>
          </w:p>
        </w:tc>
        <w:tc>
          <w:tcPr/>
          <w:p>
            <w:pPr>
              <w:pStyle w:val="Compact"/>
            </w:pPr>
            <w:r>
              <w:t xml:space="preserve">1.805 (0.556 to 3.063)</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1.06 (0.64 to 1.52)</w:t>
            </w:r>
          </w:p>
        </w:tc>
        <w:tc>
          <w:tcPr/>
          <w:p>
            <w:pPr>
              <w:pStyle w:val="Compact"/>
            </w:pPr>
            <w:r>
              <w:t xml:space="preserve">0.97</w:t>
            </w:r>
          </w:p>
        </w:tc>
        <w:tc>
          <w:tcPr/>
          <w:p>
            <w:pPr>
              <w:pStyle w:val="Compact"/>
            </w:pPr>
            <w:r>
              <w:t xml:space="preserve">1.72 (0.53 to 2.92)</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1.36 (0.82 to 1.96)</w:t>
            </w:r>
          </w:p>
        </w:tc>
        <w:tc>
          <w:tcPr/>
          <w:p>
            <w:pPr>
              <w:pStyle w:val="Compact"/>
            </w:pPr>
            <w:r>
              <w:t xml:space="preserve">1.24</w:t>
            </w:r>
          </w:p>
        </w:tc>
        <w:tc>
          <w:tcPr/>
          <w:p>
            <w:pPr>
              <w:pStyle w:val="Compact"/>
            </w:pPr>
            <w:r>
              <w:t xml:space="preserve">2.21 (0.68 to 3.76)</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05"/>
    <w:bookmarkStart w:id="106"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Barr, J. G. &amp; Fuentes, J. D. et al. AmeriFlux BASE US-Skr Shark River Slough (Tower SRS-6) Everglades, version 2-5. AmeriFlux AMP (dataset). [CHECK: DOI and creator list]</w:t>
            </w:r>
          </w:p>
        </w:tc>
        <w:tc>
          <w:tcPr/>
          <w:p>
            <w:pPr>
              <w:pStyle w:val="Compact"/>
            </w:pPr>
            <w:r>
              <w:t xml:space="preserve">Tower NEE, GPP partitioning, air temperature and pressure for chamber fluxes, Q10</w:t>
            </w:r>
          </w:p>
        </w:tc>
      </w:tr>
      <w:tr>
        <w:tc>
          <w:tcPr/>
          <w:p>
            <w:pPr>
              <w:pStyle w:val="Compact"/>
            </w:pPr>
            <w:r>
              <w:t xml:space="preserve">Castañeda-Moya, E. et al. Water level at the FCE LTER mangrove sites SRS5 and SRS6. Environmental Data Initiative, knb-lter-fce.1168.15 (dataset). [CHECK: title and DOI]</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Litterfall production of mangrove forests along Shark River Slough and Taylor Slough, Everglades National Park (FCE LTER). Environmental Data Initiative, knb-lter-fce.1195.12 (dataset). [CHECK: title and DOI]</w:t>
            </w:r>
          </w:p>
        </w:tc>
        <w:tc>
          <w:tcPr/>
          <w:p>
            <w:pPr>
              <w:pStyle w:val="Compact"/>
            </w:pPr>
            <w:r>
              <w:t xml:space="preserve">Woody litterfall context for downed wood (text S3)</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et al. [CARAFE airborne flux data for BlueFlux]. ORNL DAAC (dataset). [CHECK: DAAC dataset ID]</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public archive]</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[BlueFlux aquatic transect dissolved CO2 and CH4, Shark River, October 2022; CHECK citation]</w:t>
            </w:r>
          </w:p>
        </w:tc>
        <w:tc>
          <w:tcPr/>
          <w:p>
            <w:pPr>
              <w:pStyle w:val="Compact"/>
            </w:pPr>
            <w:r>
              <w:t xml:space="preserve">Dissolved gas at SRS6 for the October 2022 water-surface flux (M8)</w:t>
            </w:r>
          </w:p>
        </w:tc>
      </w:tr>
    </w:tbl>
    <w:p>
      <w:r>
        <w:pict>
          <v:rect style="width:0;height:1.5pt" o:hralign="center" o:hrstd="t" o:hr="t"/>
        </w:pict>
      </w:r>
    </w:p>
    <w:bookmarkEnd w:id="106"/>
    <w:bookmarkStart w:id="107" w:name="references"/>
    <w:p>
      <w:pPr>
        <w:pStyle w:val="Heading1"/>
      </w:pPr>
      <w:r>
        <w:t xml:space="preserve">References</w:t>
      </w:r>
    </w:p>
    <w:p>
      <w:pPr>
        <w:pStyle w:val="Compact"/>
        <w:numPr>
          <w:ilvl w:val="0"/>
          <w:numId w:val="1009"/>
        </w:numPr>
      </w:pPr>
      <w:r>
        <w:t xml:space="preserve">Allen, M. R. et al. A solution to the misrepresentations of CO2-equivalent emissions of short-lived climate pollutants under ambitious mitigation. npj Clim. Atmos. Sci. 1, 16 (2018). https://doi.org/10.1038/s41612-018-0026-8</w:t>
      </w:r>
    </w:p>
    <w:p>
      <w:pPr>
        <w:pStyle w:val="Compact"/>
        <w:numPr>
          <w:ilvl w:val="0"/>
          <w:numId w:val="1009"/>
        </w:numPr>
      </w:pPr>
      <w:r>
        <w:t xml:space="preserve">Atkin, O. K., Meir, P. &amp; Turnbull, M. H. Improving representation of leaf respiration in large-scale predictive climate–vegetation models. New Phytol. 202, 743–748 (2014). https://doi.org/10.1111/nph.12686</w:t>
      </w:r>
    </w:p>
    <w:p>
      <w:pPr>
        <w:pStyle w:val="Compact"/>
        <w:numPr>
          <w:ilvl w:val="0"/>
          <w:numId w:val="1009"/>
        </w:numPr>
      </w:pPr>
      <w:r>
        <w:t xml:space="preserve">Barr, J. G., Fuentes, J. D., Engel, V. &amp; Zieman, J. C. Physiological responses of red mangroves to the climate in the Florida Everglades. J. Geophys. Res. Biogeosci. 114, G02008 (2009). https://doi.org/10.1029/2008JG000843</w:t>
      </w:r>
    </w:p>
    <w:p>
      <w:pPr>
        <w:pStyle w:val="Compact"/>
        <w:numPr>
          <w:ilvl w:val="0"/>
          <w:numId w:val="1009"/>
        </w:numPr>
      </w:pPr>
      <w:r>
        <w:t xml:space="preserve">Bouillon, S. et al. Importance of intertidal sediment processes and porewater exchange on the water column biogeochemistry in a pristine mangrove creek (Ras Dege, Tanzania). Biogeosciences 4, 311–322 (2007). https://doi.org/10.5194/bg-4-311-2007</w:t>
      </w:r>
    </w:p>
    <w:p>
      <w:pPr>
        <w:pStyle w:val="Compact"/>
        <w:numPr>
          <w:ilvl w:val="0"/>
          <w:numId w:val="1009"/>
        </w:numPr>
      </w:pPr>
      <w:r>
        <w:t xml:space="preserve">Bunting, P. et al. Global Mangrove Extent Change 1996–2020: Global Mangrove Watch Version 3.0. Remote Sens. 14, 3657 (2022). https://doi.org/10.3390/rs14153657</w:t>
      </w:r>
    </w:p>
    <w:p>
      <w:pPr>
        <w:pStyle w:val="Compact"/>
        <w:numPr>
          <w:ilvl w:val="0"/>
          <w:numId w:val="1009"/>
        </w:numPr>
      </w:pPr>
      <w:r>
        <w:t xml:space="preserve">Cahoon, D. R. et al. Mass tree mortality leads to mangrove peat collapse at Bay Islands, Honduras after Hurricane Mitch. J. Ecol. 91, 1093–1105 (2003). https://doi.org/10.1046/j.1365-2745.2003.00841.x</w:t>
      </w:r>
    </w:p>
    <w:p>
      <w:pPr>
        <w:pStyle w:val="Compact"/>
        <w:numPr>
          <w:ilvl w:val="0"/>
          <w:numId w:val="1009"/>
        </w:numPr>
      </w:pPr>
      <w:r>
        <w:t xml:space="preserve">Castañeda-Moya, E., Twilley, R. R. &amp; Rivera-Monroy, V. H. Allocation of biomass and net primary productivity of mangrove forests along environmental gradients in the Florida Coastal Everglades, USA. For. Ecol. Manage. 307, 226–241 (2013). https://doi.org/10.1016/j.foreco.2013.07.011</w:t>
      </w:r>
    </w:p>
    <w:p>
      <w:pPr>
        <w:pStyle w:val="Compact"/>
        <w:numPr>
          <w:ilvl w:val="0"/>
          <w:numId w:val="1009"/>
        </w:numPr>
      </w:pPr>
      <w:r>
        <w:t xml:space="preserve">Delaria, E. R. et al. Assessment of landscape-scale fluxes of carbon dioxide and methane in subtropical coastal wetlands of South Florida. J. Geophys. Res. Biogeosci. 129, e2024JG008165 (2024). https://doi.org/10.1029/2024JG008165</w:t>
      </w:r>
    </w:p>
    <w:p>
      <w:pPr>
        <w:pStyle w:val="Compact"/>
        <w:numPr>
          <w:ilvl w:val="0"/>
          <w:numId w:val="1009"/>
        </w:numPr>
      </w:pPr>
      <w:r>
        <w:t xml:space="preserve">Forster, P. et al. The Earth’s energy budget, climate feedbacks, and climate sensitivity. In Climate Change 2021: The Physical Science Basis. Contribution of Working Group I to the Sixth Assessment Report of the IPCC, Ch. 7, 923–1054 (Cambridge Univ. Press, 2021).</w:t>
      </w:r>
    </w:p>
    <w:p>
      <w:pPr>
        <w:pStyle w:val="Compact"/>
        <w:numPr>
          <w:ilvl w:val="0"/>
          <w:numId w:val="1009"/>
        </w:numPr>
      </w:pPr>
      <w:r>
        <w:t xml:space="preserve">Griffiths, L. N. &amp; Mitsch, W. J. Estimating the effects of a hurricane on carbon storage in mangrove wetlands in Southwest Florida. Plants 10, 1749 (2021). https://doi.org/10.3390/plants10081749</w:t>
      </w:r>
    </w:p>
    <w:p>
      <w:pPr>
        <w:pStyle w:val="Compact"/>
        <w:numPr>
          <w:ilvl w:val="0"/>
          <w:numId w:val="1009"/>
        </w:numPr>
      </w:pPr>
      <w:r>
        <w:t xml:space="preserve">Hannun, R. A. et al. Spatial heterogeneity in CO2, CH4, and energy fluxes: insights from airborne eddy covariance measurements over the Mid-Atlantic region. Environ. Res. Lett. 15, 035008 (2020). https://doi.org/10.1088/1748-9326/ab7391</w:t>
      </w:r>
    </w:p>
    <w:p>
      <w:pPr>
        <w:pStyle w:val="Compact"/>
        <w:numPr>
          <w:ilvl w:val="0"/>
          <w:numId w:val="1009"/>
        </w:numPr>
      </w:pPr>
      <w:r>
        <w:t xml:space="preserve">Heskel, M. A. et al. Convergence in the temperature response of leaf respiration across biomes and plant functional types. Proc. Natl Acad. Sci. USA 113, 3832–3837 (2016). https://doi.org/10.1073/pnas.1520282113</w:t>
      </w:r>
    </w:p>
    <w:p>
      <w:pPr>
        <w:pStyle w:val="Compact"/>
        <w:numPr>
          <w:ilvl w:val="0"/>
          <w:numId w:val="1009"/>
        </w:numPr>
      </w:pPr>
      <w:r>
        <w:t xml:space="preserve">Ho, D. T. et al. Dissolved carbon biogeochemistry and export in mangrove-dominated rivers of the Florida Everglades. Biogeosciences 14, 2543–2559 (2017). https://doi.org/10.5194/bg-14-2543-2017</w:t>
      </w:r>
    </w:p>
    <w:p>
      <w:pPr>
        <w:pStyle w:val="Compact"/>
        <w:numPr>
          <w:ilvl w:val="0"/>
          <w:numId w:val="1009"/>
        </w:numPr>
      </w:pPr>
      <w:r>
        <w:t xml:space="preserve">Huntingford, C. et al. Implications of improved representations of plant respiration in a changing climate. Nat. Commun. 8, 1602 (2017). https://doi.org/10.1038/s41467-017-01774-z [CHECK article number]</w:t>
      </w:r>
    </w:p>
    <w:p>
      <w:pPr>
        <w:pStyle w:val="Compact"/>
        <w:numPr>
          <w:ilvl w:val="0"/>
          <w:numId w:val="1009"/>
        </w:numPr>
      </w:pPr>
      <w:r>
        <w:t xml:space="preserve">Hutchinson, G. L. &amp; Mosier, A. R. Improved soil cover method for field measurement of nitrous oxide fluxes. Soil Sci. Soc. Am. J. 45, 311–316 (1981). https://doi.org/10.2136/sssaj1981.03615995004500020017x</w:t>
      </w:r>
    </w:p>
    <w:p>
      <w:pPr>
        <w:pStyle w:val="Compact"/>
        <w:numPr>
          <w:ilvl w:val="0"/>
          <w:numId w:val="1009"/>
        </w:numPr>
      </w:pPr>
      <w:r>
        <w:t xml:space="preserve">Hutjes, R. W. A. et al. Dis-aggregation of airborne flux measurements using footprint analysis. Agric. For. Meteorol. 150, 966–983 (2010). https://doi.org/10.1016/j.agrformet.2010.03.004</w:t>
      </w:r>
    </w:p>
    <w:p>
      <w:pPr>
        <w:pStyle w:val="Compact"/>
        <w:numPr>
          <w:ilvl w:val="0"/>
          <w:numId w:val="1009"/>
        </w:numPr>
      </w:pPr>
      <w:r>
        <w:t xml:space="preserve">Jeffrey, L. C. et al. Are methane emissions from mangrove stems a cryptic carbon loss pathway? Insights from a catastrophic forest mortality. New Phytol. 224, 146–154 (2019). https://doi.org/10.1111/nph.15995</w:t>
      </w:r>
    </w:p>
    <w:p>
      <w:pPr>
        <w:pStyle w:val="Compact"/>
        <w:numPr>
          <w:ilvl w:val="0"/>
          <w:numId w:val="1009"/>
        </w:numPr>
      </w:pPr>
      <w:r>
        <w:t xml:space="preserve">Kljun, N., Calanca, P., Rotach, M. W. &amp; Schmid, H. P. A simple two-dimensional parameterisation for Flux Footprint Prediction (FFP). Geosci. Model Dev. 8, 3695–3713 (2015). https://doi.org/10.5194/gmd-8-3695-2015</w:t>
      </w:r>
    </w:p>
    <w:p>
      <w:pPr>
        <w:pStyle w:val="Compact"/>
        <w:numPr>
          <w:ilvl w:val="0"/>
          <w:numId w:val="1009"/>
        </w:numPr>
      </w:pPr>
      <w:r>
        <w:t xml:space="preserve">Krauss, K. W. et al. Woody debris in the mangrove forests of South Florida. Biotropica 37, 9–15 (2005). https://doi.org/10.1111/j.1744-7429.2005.03058.x</w:t>
      </w:r>
    </w:p>
    <w:p>
      <w:pPr>
        <w:pStyle w:val="Compact"/>
        <w:numPr>
          <w:ilvl w:val="0"/>
          <w:numId w:val="1009"/>
        </w:numPr>
      </w:pPr>
      <w:r>
        <w:t xml:space="preserve">Lagomasino, D. et al. Storm surge and ponding explain mangrove dieback in southwest Florida following Hurricane Irma. Nat. Commun. 12, 4003 (2021). https://doi.org/10.1038/s41467-021-24253-y</w:t>
      </w:r>
    </w:p>
    <w:p>
      <w:pPr>
        <w:pStyle w:val="Compact"/>
        <w:numPr>
          <w:ilvl w:val="0"/>
          <w:numId w:val="1009"/>
        </w:numPr>
      </w:pPr>
      <w:r>
        <w:t xml:space="preserve">Lin, C.-W. et al. Flushing emissions of methane and carbon dioxide from mangrove soils during tidal cycles. Sci. Total Environ. 919, 170768 (2024). https://doi.org/10.1016/j.scitotenv.2024.170768</w:t>
      </w:r>
    </w:p>
    <w:p>
      <w:pPr>
        <w:pStyle w:val="Compact"/>
        <w:numPr>
          <w:ilvl w:val="0"/>
          <w:numId w:val="1009"/>
        </w:numPr>
      </w:pPr>
      <w:r>
        <w:t xml:space="preserve">Lovelock, C. E., Ruess, R. W. &amp; Feller, I. C. CO2 efflux from cleared mangrove peat. PLoS ONE 6, e21279 (2011). https://doi.org/10.1371/journal.pone.0021279</w:t>
      </w:r>
    </w:p>
    <w:p>
      <w:pPr>
        <w:pStyle w:val="Compact"/>
        <w:numPr>
          <w:ilvl w:val="0"/>
          <w:numId w:val="1009"/>
        </w:numPr>
      </w:pPr>
      <w:r>
        <w:t xml:space="preserve">Martinez, M. &amp; Ardón, M. Drivers of greenhouse gas emissions from standing dead trees in ghost forests. Biogeochemistry 154, 471–488 (2021). https://doi.org/10.1007/s10533-021-00797-5</w:t>
      </w:r>
    </w:p>
    <w:p>
      <w:pPr>
        <w:pStyle w:val="Compact"/>
        <w:numPr>
          <w:ilvl w:val="0"/>
          <w:numId w:val="1009"/>
        </w:numPr>
      </w:pPr>
      <w:r>
        <w:t xml:space="preserve">Osland, M. J. et al. A tropical cyclone-induced ecological regime shift: mangrove forest conversion to mudflat in Everglades National Park (Florida, USA). Wetlands 40, 1445–1458 (2020). https://doi.org/10.1007/s13157-020-01291-8</w:t>
      </w:r>
    </w:p>
    <w:p>
      <w:pPr>
        <w:pStyle w:val="Compact"/>
        <w:numPr>
          <w:ilvl w:val="0"/>
          <w:numId w:val="1009"/>
        </w:numPr>
      </w:pPr>
      <w:r>
        <w:t xml:space="preserve">Pedersen, A. R., Petersen, S. O. &amp; Schelde, K. A comprehensive approach to soil-atmosphere trace-gas flux estimation with static chambers. Eur. J. Soil Sci. 61, 888–902 (2010). https://doi.org/10.1111/j.1365-2389.2010.01291.x</w:t>
      </w:r>
    </w:p>
    <w:p>
      <w:pPr>
        <w:pStyle w:val="Compact"/>
        <w:numPr>
          <w:ilvl w:val="0"/>
          <w:numId w:val="1009"/>
        </w:numPr>
      </w:pPr>
      <w:r>
        <w:t xml:space="preserve">Poulter, B. et al. Multi-scale observations of mangrove blue carbon ecosystem fluxes: the NASA Carbon Monitoring System BlueFlux field campaign. Environ. Res. Lett. 18, 075009 (2023). https://doi.org/10.1088/1748-9326/acdae6</w:t>
      </w:r>
    </w:p>
    <w:p>
      <w:pPr>
        <w:pStyle w:val="Compact"/>
        <w:numPr>
          <w:ilvl w:val="0"/>
          <w:numId w:val="1009"/>
        </w:numPr>
      </w:pPr>
      <w:r>
        <w:t xml:space="preserve">Powell, E. B. et al. [Terrestrial laser scanning of Everglades mangrove structure and surface area across a hurricane-disturbance gradient — methods paper in preparation; details to complete]</w:t>
      </w:r>
    </w:p>
    <w:p>
      <w:pPr>
        <w:pStyle w:val="Compact"/>
        <w:numPr>
          <w:ilvl w:val="0"/>
          <w:numId w:val="1009"/>
        </w:numPr>
      </w:pPr>
      <w:r>
        <w:t xml:space="preserve">Radabaugh, K. R. et al. Mangrove damage, delayed mortality, and early recovery following Hurricane Irma at two landfall sites in Southwest Florida, USA. Estuar. Coasts 43, 1104–1118 (2020). https://doi.org/10.1007/s12237-019-00564-8</w:t>
      </w:r>
    </w:p>
    <w:p>
      <w:pPr>
        <w:pStyle w:val="Compact"/>
        <w:numPr>
          <w:ilvl w:val="0"/>
          <w:numId w:val="1009"/>
        </w:numPr>
      </w:pPr>
      <w:r>
        <w:t xml:space="preserve">Reed, D. et al. Resilience to hurricanes is high in mangrove blue carbon forests. Glob. Change Biol. 31, e70124 (2025). https://doi.org/10.1111/gcb.70124</w:t>
      </w:r>
    </w:p>
    <w:p>
      <w:pPr>
        <w:pStyle w:val="Compact"/>
        <w:numPr>
          <w:ilvl w:val="0"/>
          <w:numId w:val="1009"/>
        </w:numPr>
      </w:pPr>
      <w:r>
        <w:t xml:space="preserve">Reithmaier, G. M. S., Ho, D. T., Johnston, S. G. &amp; Maher, D. T. Mangroves as a source of greenhouse gases to the atmosphere and alkalinity and dissolved carbon to the coastal ocean: a case study from the Everglades National Park, Florida. J. Geophys. Res. Biogeosci. 125, e2020JG005812 (2020). https://doi.org/10.1029/2020JG005812</w:t>
      </w:r>
    </w:p>
    <w:p>
      <w:pPr>
        <w:pStyle w:val="Compact"/>
        <w:numPr>
          <w:ilvl w:val="0"/>
          <w:numId w:val="1009"/>
        </w:numPr>
      </w:pPr>
      <w:r>
        <w:t xml:space="preserve">Rheault, K., Christiansen, J. R. &amp; Larsen, K. S. goFlux: a user-friendly way to calculate GHG fluxes yourself, regardless of user experience. J. Open Source Softw. 9, 6393 (2024). https://doi.org/10.21105/joss.06393</w:t>
      </w:r>
    </w:p>
    <w:p>
      <w:pPr>
        <w:pStyle w:val="Compact"/>
        <w:numPr>
          <w:ilvl w:val="0"/>
          <w:numId w:val="1009"/>
        </w:numPr>
      </w:pPr>
      <w:r>
        <w:t xml:space="preserve">Romero-Uribe, H. M., López-Portillo, J., Reverchon, F. &amp; Hernández, M. E. Effect of degradation of a black mangrove forest on seasonal greenhouse gas emissions. Environ. Sci. Pollut. Res. 29, 11951–11965 (2022). https://doi.org/10.1007/s11356-021-16597-1</w:t>
      </w:r>
    </w:p>
    <w:p>
      <w:pPr>
        <w:pStyle w:val="Compact"/>
        <w:numPr>
          <w:ilvl w:val="0"/>
          <w:numId w:val="1009"/>
        </w:numPr>
      </w:pPr>
      <w:r>
        <w:t xml:space="preserve">Sippo, J. Z. et al. Coastal carbon cycle changes following mangrove loss. Limnol. Oceanogr. 65, 2642–2656 (2020). https://doi.org/10.1002/lno.11476</w:t>
      </w:r>
    </w:p>
    <w:p>
      <w:pPr>
        <w:pStyle w:val="Compact"/>
        <w:numPr>
          <w:ilvl w:val="0"/>
          <w:numId w:val="1009"/>
        </w:numPr>
      </w:pPr>
      <w:r>
        <w:t xml:space="preserve">Smith, M. A., Cain, M. &amp; Allen, M. R. Further improvement of warming-equivalent emissions calculation. npj Clim. Atmos. Sci. 4, 19 (2021). https://doi.org/10.1038/s41612-021-00169-8</w:t>
      </w:r>
    </w:p>
    <w:p>
      <w:pPr>
        <w:pStyle w:val="Compact"/>
        <w:numPr>
          <w:ilvl w:val="0"/>
          <w:numId w:val="1009"/>
        </w:numPr>
      </w:pPr>
      <w:r>
        <w:t xml:space="preserve">Stegehuis, A. I., Ho, D. T., Bopp, L. &amp; Guenet, B. Reduced carbon outflow from a Floridian mangrove estuary up to two years after a hurricane. Commun. Earth Environ. 7, 395 (2026). https://doi.org/10.1038/s43247-026-03249-w</w:t>
      </w:r>
    </w:p>
    <w:p>
      <w:pPr>
        <w:pStyle w:val="Compact"/>
        <w:numPr>
          <w:ilvl w:val="0"/>
          <w:numId w:val="1009"/>
        </w:numPr>
      </w:pPr>
      <w:r>
        <w:t xml:space="preserve">Sturchio, M. A. et al. Temperature acclimation of leaf respiration differs between marsh and mangrove vegetation in a coastal wetland ecotone. Glob. Change Biol. 28, 612–629 (2022). https://doi.org/10.1111/gcb.15938</w:t>
      </w:r>
    </w:p>
    <w:p>
      <w:pPr>
        <w:pStyle w:val="Compact"/>
        <w:numPr>
          <w:ilvl w:val="0"/>
          <w:numId w:val="1009"/>
        </w:numPr>
      </w:pPr>
      <w:r>
        <w:t xml:space="preserve">Taillie, P. J. et al. Widespread mangrove damage resulting from the 2017 Atlantic mega hurricane season. Environ. Res. Lett. 15, 064010 (2020). https://doi.org/10.1088/1748-9326/ab82cf</w:t>
      </w:r>
    </w:p>
    <w:p>
      <w:pPr>
        <w:pStyle w:val="Compact"/>
        <w:numPr>
          <w:ilvl w:val="0"/>
          <w:numId w:val="1009"/>
        </w:numPr>
      </w:pPr>
      <w:r>
        <w:t xml:space="preserve">Troxler, T. G. et al. Component-specific dynamics of riverine mangrove CO2 efflux in the Florida coastal Everglades. Agric. For. Meteorol. 213, 273–282 (2015). https://doi.org/10.1016/j.agrformet.2014.12.012</w:t>
      </w:r>
    </w:p>
    <w:p>
      <w:pPr>
        <w:pStyle w:val="Compact"/>
        <w:numPr>
          <w:ilvl w:val="0"/>
          <w:numId w:val="1009"/>
        </w:numPr>
      </w:pPr>
      <w:r>
        <w:t xml:space="preserve">Wanninkhof, R. Relationship between wind speed and gas exchange over the ocean revisited. Limnol. Oceanogr. Methods 12, 351–362 (2014). https://doi.org/10.4319/lom.2014.12.351</w:t>
      </w:r>
    </w:p>
    <w:p>
      <w:pPr>
        <w:pStyle w:val="Compact"/>
        <w:numPr>
          <w:ilvl w:val="0"/>
          <w:numId w:val="1009"/>
        </w:numPr>
      </w:pPr>
      <w:r>
        <w:t xml:space="preserve">Weiss, R. F. Carbon dioxide in water and seawater: the solubility of a non-ideal gas. Mar. Chem. 2, 203–215 (1974). https://doi.org/10.1016/0304-4203(74)90015-2</w:t>
      </w:r>
    </w:p>
    <w:p>
      <w:pPr>
        <w:pStyle w:val="Compact"/>
        <w:numPr>
          <w:ilvl w:val="0"/>
          <w:numId w:val="1009"/>
        </w:numPr>
      </w:pPr>
      <w:r>
        <w:t xml:space="preserve">Wolfe, G. M. et al. The NASA Carbon Airborne Flux Experiment (CARAFE): instrumentation and methodology. Atmos. Meas. Tech. 11, 1757–1776 (2018). https://doi.org/10.5194/amt-11-1757-2018</w:t>
      </w:r>
    </w:p>
    <w:p>
      <w:pPr>
        <w:pStyle w:val="Compact"/>
        <w:numPr>
          <w:ilvl w:val="0"/>
          <w:numId w:val="1009"/>
        </w:numPr>
      </w:pPr>
      <w:r>
        <w:t xml:space="preserve">Wood, S. A. et al. Mitigating near-term climate change. Environ. Res. Lett. 18, 101002 (2023). https://doi.org/10.1088/1748-9326/acfdbd</w:t>
      </w:r>
    </w:p>
    <w:p>
      <w:pPr>
        <w:pStyle w:val="Compact"/>
        <w:numPr>
          <w:ilvl w:val="0"/>
          <w:numId w:val="1009"/>
        </w:numPr>
      </w:pPr>
      <w:r>
        <w:t xml:space="preserve">Yamamoto, S., Alcauskas, J. B. &amp; Crozier, T. E. Solubility of methane in distilled water and seawater. J. Chem. Eng. Data 21, 78–80 (1976). https://doi.org/10.1021/je60068a029</w:t>
      </w:r>
    </w:p>
    <w:p>
      <w:pPr>
        <w:pStyle w:val="Compact"/>
        <w:numPr>
          <w:ilvl w:val="0"/>
          <w:numId w:val="1009"/>
        </w:numPr>
      </w:pPr>
      <w:r>
        <w:t xml:space="preserve">Yong, Z.-J., Lin, W.-J., Lin, C.-W. &amp; Lin, H.-J. Tidal influence on carbon dioxide and methane fluxes from tree stems and soils in mangrove forests. Biogeosciences 21, 5247–5260 (2024). https://doi.org/10.5194/bg-21-5247-2024</w:t>
      </w:r>
    </w:p>
    <w:p>
      <w:pPr>
        <w:pStyle w:val="Compact"/>
        <w:numPr>
          <w:ilvl w:val="0"/>
          <w:numId w:val="1009"/>
        </w:numPr>
      </w:pPr>
      <w:r>
        <w:t xml:space="preserve">Yu, H., Organ, H., Xu, D. &amp; Coffin, R. Tidal control and mangrove dieback impact on methane emissions from a subtropical mangrove estuary. Limnol. Oceanogr. 68, 753–766 (2023). https://doi.org/10.1002/lno.12307</w:t>
      </w:r>
    </w:p>
    <w:p>
      <w:pPr>
        <w:pStyle w:val="Compact"/>
        <w:numPr>
          <w:ilvl w:val="0"/>
          <w:numId w:val="1009"/>
        </w:numPr>
      </w:pPr>
      <w:r>
        <w:t xml:space="preserve">Zhao, X. et al. Tropical cyclones cumulatively control regional carbon fluxes in Everglades mangrove wetlands (Florida, USA). Sci. Rep. 11, 13927 (2021). https://doi.org/10.1038/s41598-021-92899-1</w:t>
      </w:r>
    </w:p>
    <w:p>
      <w:pPr>
        <w:pStyle w:val="Compact"/>
        <w:numPr>
          <w:ilvl w:val="0"/>
          <w:numId w:val="1009"/>
        </w:numPr>
      </w:pPr>
      <w:r>
        <w:t xml:space="preserve">Zhu, X. et al. Asynchronous methane and carbon dioxide fluxes drive temporal variability of mangrove blue carbon sequestration. Geophys. Res. Lett. 51, e2023GL107235 (2024). https://doi.org/10.1029/2023GL107235</w:t>
      </w:r>
    </w:p>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95" Target="media/rId95.png" /><Relationship Type="http://schemas.openxmlformats.org/officeDocument/2006/relationships/image" Id="rId71" Target="media/rId71.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92" Target="media/rId92.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77" Target="media/rId77.png" /><Relationship Type="http://schemas.openxmlformats.org/officeDocument/2006/relationships/image" Id="rId101" Target="media/rId101.png" /><Relationship Type="http://schemas.openxmlformats.org/officeDocument/2006/relationships/image" Id="rId68" Target="media/rId68.png" /><Relationship Type="http://schemas.openxmlformats.org/officeDocument/2006/relationships/image" Id="rId53" Target="media/rId53.png" /><Relationship Type="http://schemas.openxmlformats.org/officeDocument/2006/relationships/image" Id="rId98" Target="media/rId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2026-10-03T10:26:31Z</dcterms:created>
  <dcterms:modified xsi:type="dcterms:W3CDTF">2026-10-03T10:26:31Z</dcterms:modified>
</cp:coreProperties>
</file>

<file path=docProps/custom.xml><?xml version="1.0" encoding="utf-8"?>
<Properties xmlns="http://schemas.openxmlformats.org/officeDocument/2006/custom-properties" xmlns:vt="http://schemas.openxmlformats.org/officeDocument/2006/docPropsVTypes"/>
</file>