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98.png" ContentType="image/png"/>
  <Override PartName="/word/media/rId47.png" ContentType="image/png"/>
  <Override PartName="/word/media/rId65.png" ContentType="image/png"/>
  <Override PartName="/word/media/rId68.png" ContentType="image/png"/>
  <Override PartName="/word/media/rId62.png" ContentType="image/png"/>
  <Override PartName="/word/media/rId71.png" ContentType="image/png"/>
  <Override PartName="/word/media/rId56.png" ContentType="image/png"/>
  <Override PartName="/word/media/rId95.png" ContentType="image/png"/>
  <Override PartName="/word/media/rId101.png" ContentType="image/png"/>
  <Override PartName="/word/media/rId104.png" ContentType="image/png"/>
  <Override PartName="/word/media/rId83.png" ContentType="image/png"/>
  <Override PartName="/word/media/rId89.png" ContentType="image/png"/>
  <Override PartName="/word/media/rId53.png" ContentType="image/png"/>
  <Override PartName="/word/media/rId50.png" ContentType="image/png"/>
  <Override PartName="/word/media/rId92.png" ContentType="image/png"/>
  <Override PartName="/word/media/rId107.png" ContentType="image/png"/>
  <Override PartName="/word/media/rId80.png" ContentType="image/png"/>
  <Override PartName="/word/media/rId86.png" ContentType="image/png"/>
  <Override PartName="/word/media/rId74.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S19;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figs. S2 and S3).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 Against the long-term records (fig. S19), October 2022 was unusually wet (SRS6 water level above the typical October range) with tower CH4 near its seasonal maximum, whereas March 2023 had tower CH4 below the typical March range and high midday CO2 uptake; the two campaigns therefore bracket the seasonal range of CH4 rather than sample its mean, and the warmest months (July–September) were not sampled.</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S6).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S6).</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triplicate surface-water samples at the plots (headspace equilibration, GC; a replicate below 30% of its triplicate median was treated as a failed vial) and from the BlueFlux tidal-river survey (Vaughn and Raymond 2024; data S2): river stations beside SRS5 and SRS6 and a tidal creek inside the SRS6 forest. Salinity and temperature were those measured with each sample: sonde values for the survey, and for plot samples the surface-water salinity measured at the plot and the water temperature recorded at the chambers or on the plot datasheet. k600 was calibrated on chamber water fluxes grouped by plot, campaign and position (over the flooded forest floor, or in a channel or open water) and paired with dissolved CH4 from the same position (plot samples and the tidal creek with floor chambers, river stations with channel chambers), taking survey samples from within a day of the chambers. Ten pairs gave k600 of 0.44–7.6 cm h−1; one (CP40, October 2022; 524 cm h−1, chamber flux dominated by ebullition against low dissolved CH4) was rejected as implausible (&gt;50 cm h−1). We used the median of the site medians (1.29 cm h−1; site medians 0.49–6.8, the uncertainty range), so that each site counts once, for both gases. This value lies within measurements for sheltered Everglades wetland water (0.3–3.2 cm h−1, compiled by Ho et al. 2018) and below those for the Shark River channel (3.3–8.3; Ho et al. 2014, 2016) and the river and estuary wind relations (Cole and Caraco 1998; Raymond and Cole 2001; Borges et al. 2004), which were developed for deeper, more turbulent water (fig. S14). The highest site value (SRS6, 6.8) would raise the October 2022 SRS6 water flux about fivefold; with it, SRS6 respiration exceeds the tower-partitioned value by ~50% and its net CO2 uptake nearly vanishes against the tower, so it is treated as a sensitivity case.</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fig. S13 draws the campaign water levels against the woody surfaces of each scanned site.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Flight tracks and the footprint area over each class are shown in fig. S20.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5C),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S8,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S9).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stand CH4 in each tide state is shown in fig. S11 and the derivation of the flooded share in fig. S12.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+2,776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−1,170 to −760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S16). For net forcing, canopy leaf respiration (Rd25 and LAI) and tower GPP dominate the intact interval and the CH4 budget dominates the ghost interval. The intervals of the two states do not overlap: intact −5,183 to −1,854 and ghost +1,931 to +3,977 g CO2-eq m−2 yr−1 at GWP20 (−5,262 to −1,953 and +1,505 to +3,266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p>
      <w:pPr>
        <w:pStyle w:val="BodyText"/>
      </w:pPr>
      <w:r>
        <w:t xml:space="preserve">The ghost-forest CO2 budget sums component releases and contains no primary production beyond what the water chambers capture, whereas the aircraft resolved a small midday sink over ghost forest (−1 ± 2 µmol m−2 s−1 in October 2022 and −2.5 ± 2 in February 2023; table S6). The water chemistry points to photosynthesis in the ghost ponds: daytime dissolved O2 reached 75–131% of saturation at FLM30 (October 2022) and ~170% at CP40 (October 2025), pH was 8.0–8.4, and dissolved CO2 was 0.5–10 times air saturation, against 39–90% O2 saturation, pH 7.4–7.9 and 4–14 times CO2 saturation in the intact-forest river and creek water and anoxic water at BL60 (~1% O2 saturation; 90–120 times CO2 saturation). Exposed ghost sediments at Marco Island took up CO2 in daylight (9 of 11 soil chambers in March 2023). The floating chambers were clear but not fully transparent and never recorded net CO2 uptake (all 42 water closures were positive, all at midday), so they include only part of any aquatic photosynthesis; some low, flat closures at CP40 (March 2023) are consistent with uptake nearly balancing respiration. Sparse margin vegetation and occasional resprouting or recruiting trees are outside the chamber footprint. Ghost-forest gross primary production is therefore probably small but non-zero, and the chamber budget, a daily sum of component releases, is an upper bound on ghost-forest CO2 release; this, together with the midday timing and wider footprint of the aircraft, can account for the opposite signs of the two estimates.</w:t>
      </w:r>
    </w:p>
    <w:p>
      <w:pPr>
        <w:pStyle w:val="BodyText"/>
      </w:pPr>
      <w:r>
        <w:t xml:space="preserve">Our switch is an intensive, process-resolved estimate for persistent ghost forest, based on two sites per class; we compare it here with two coarser routes that do not resolve conditions within a class (fig. S21). From the CARAFE class fluxes alone (four deployments; annual value the mean of the wet and dry seasons, as for the chambers), with midday CO2 scaled to daily for both classes by the tower relation of Doughty et al. (2026) (daily = 0.27 × midday + 0.58 µmol m−2 s−1, which restores night-time respiration), the switch is 4,520 g CO2-eq m−2 yr−1 at GWP20 (95% interval 1,970–7,040; 4,170 at GWP100); the ghost class is then a net CO2 source (~+540 g CO2 m−2 yr−1) rather than the near-neutral value obtained if ghost midday flux is taken as daily (switch 3,020, −790 to 6,740). The BlueFlux regional upscaling (Doughty et al. 2026), a reflectance-based model trained on the same project’s towers and CARAFE flights, separates mangrove forest from pixels in the post-Irma dieback map of Lagomasino et al. (2021); its 2022–2024 means (CO2 −2.5 vs −1.5 µmol m−2 s−1; CH4 ~18.5 vs ~27 nmol m−2 s−1, read from its figs. S2 and S3) imply a switch of ~1,700 g CO2-eq m−2 yr−1. The three estimates agree in sign and order of magnitude and decline with the spatial scale over which ghost forest is averaged: the chamber sites are persistent, unrecovered ghost forest; the airborne footprints integrate ghost-forest patches with their margins; and the 500 m pixels of the mapped dieback include stands that are regreening (fig. S3) and live trees. The regional total in the main text uses the area of dieback with little recovery (Taillie et al. 2020), the persistent subset that the chamber estimate represents.</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Built like the other classes, campaign by campaign with each campaign’s measured flooded share (0.96 of depth readings with standing water in October 2022, 0 in March 2023) and then averaged, BL60 emits ~29 g CH4 m−2 yr−1 with stem and prop-root areas midway between the ghost and intact classes, and 24–33 for no woody surface to the full intact woody surface; the floor (soil and water) alone supplies ~24. This is above both ghost (~12) and intact (~1.5) forest under every structural assumption. The estimate assumes structure and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S18).</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Fig. S15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(−2,650 to −4,250), and intact CH4 emission is clearly non-zero (1.0–2.2 g CH4 m−2 yr−1). The switch spans ~5,600–8,000 g CO2-eq m−2 yr−1 at GWP20 (~5,000–7,300 at GWP100), and ~5,100–5,400 under the plausible carbon-balance framings. The largest levers on the intact budget are canopy leaf respiration (LAI), the downed-wood volume and the flooding representation, which also decides the leading intact CH4 pathway: soils (54%)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−3,593 g CO2-eq m−2 yr−1 at GWP20 (−3,674 at GWP100), and its CH4 offsets 3% (GWP20) to 1% (GWP100) of the CO2 sink. Under the central lateral scenario (346 g C m−2 yr−1) the intact forest retains ~670 g C m−2 yr−1. With exported alkalinity retained in the ocean and the rest returned to the air, the intact sink is −2,669 g CO2-eq m−2 yr−1 at GWP20 (−2,914 to −1,670 across lateral scenarios), CH4 offsets 5% of it, and the switch is ~5,400 (~4,900 at GWP100). If all exported carbon returns to the air, the intact sink is −2,288 (−2,689 to −113)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(≈760 g C m−2 yr−1), which falls between the central and high scenarios (Fig. 3D). Lateral export of dissolved CH4 from intact forest (~0.35 g C m−2 yr−1; Yau et al. 2024, an analogue) is small beside stand emission (1.1 g C m−2 yr−1).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10"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3200400"/>
            <wp:effectExtent b="0" l="0" r="0" t="0"/>
            <wp:docPr descr="" title="" id="51" name="Picture"/>
            <a:graphic>
              <a:graphicData uri="http://schemas.openxmlformats.org/drawingml/2006/picture">
                <pic:pic>
                  <pic:nvPicPr>
                    <pic:cNvPr descr="output/figures/other/si_satellite_scenes.png" id="52" name="Picture"/>
                    <pic:cNvPicPr>
                      <a:picLocks noChangeArrowheads="1" noChangeAspect="1"/>
                    </pic:cNvPicPr>
                  </pic:nvPicPr>
                  <pic:blipFill>
                    <a:blip r:embed="rId5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Sentinel-2 true-colour scenes of each site (rows; class colours) in every dry season (January–April) 2016–2025 (columns); Hurricane Irma (September 2017) falls between the 2017 and 2018 columns. 600 × 600 m around the plot for each year, the scene with the most cloud-free, valid pixels over the chip (reflectance stretched 0–0.15; Microsoft Planetary Computer).</w:t>
      </w:r>
    </w:p>
    <w:p>
      <w:pPr>
        <w:pStyle w:val="BodyText"/>
      </w:pPr>
      <w:r>
        <w:drawing>
          <wp:inline>
            <wp:extent cx="5334000" cy="5037666"/>
            <wp:effectExtent b="0" l="0" r="0" t="0"/>
            <wp:docPr descr="" title="" id="54" name="Picture"/>
            <a:graphic>
              <a:graphicData uri="http://schemas.openxmlformats.org/drawingml/2006/picture">
                <pic:pic>
                  <pic:nvPicPr>
                    <pic:cNvPr descr="output/figures/other/si_ndvi.png" id="55" name="Picture"/>
                    <pic:cNvPicPr>
                      <a:picLocks noChangeArrowheads="1" noChangeAspect="1"/>
                    </pic:cNvPicPr>
                  </pic:nvPicPr>
                  <pic:blipFill>
                    <a:blip r:embed="rId53"/>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Site greenness through time. (a) Dry-season (January–April) Landsat NDVI at each site, 1995–2025: median of cloud-free Landsat 5, 7, 8 and 9 surface-reflectance scenes (up to eight per year) over a 90 × 90 m window at the plot (centred 100 m inland at the river-edge SRS5 and SRS6 plots); dashed lines, Hurricanes Wilma (October 2005), Irma (September 2017) and Ian (September 2022). (b) Wet- versus dry-season greenness after Hurricane Irma: Sentinel-2 NDVI (3 × 3 pixel, 30 m window) in the wet (August–November) and dry (January–April) seasons of 2018–2025, median of up to three clear scenes per season; grey lines join the two seasons of a year; diamonds and bars, mean and range. At the river-edge SRS5 and SRS6 plots the window is centred 100 m inland. Negative values at the ghost plots in the wet season reflect standing water.</w:t>
      </w:r>
    </w:p>
    <w:p>
      <w:pPr>
        <w:pStyle w:val="BodyText"/>
      </w:pPr>
      <w:r>
        <w:drawing>
          <wp:inline>
            <wp:extent cx="5334000" cy="5926666"/>
            <wp:effectExtent b="0" l="0" r="0" t="0"/>
            <wp:docPr descr="" title="" id="57" name="Picture"/>
            <a:graphic>
              <a:graphicData uri="http://schemas.openxmlformats.org/drawingml/2006/picture">
                <pic:pic>
                  <pic:nvPicPr>
                    <pic:cNvPr descr="output/figures/other/sampling_design.png" id="58" name="Picture"/>
                    <pic:cNvPicPr>
                      <a:picLocks noChangeArrowheads="1" noChangeAspect="1"/>
                    </pic:cNvPicPr>
                  </pic:nvPicPr>
                  <pic:blipFill>
                    <a:blip r:embed="rId56"/>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667000"/>
            <wp:effectExtent b="0" l="0" r="0" t="0"/>
            <wp:docPr descr="" title="" id="60" name="Picture"/>
            <a:graphic>
              <a:graphicData uri="http://schemas.openxmlformats.org/drawingml/2006/picture">
                <pic:pic>
                  <pic:nvPicPr>
                    <pic:cNvPr descr="output/figures/other/water_positions_by_campaign.png" id="61" name="Picture"/>
                    <pic:cNvPicPr>
                      <a:picLocks noChangeArrowheads="1" noChangeAspect="1"/>
                    </pic:cNvPicPr>
                  </pic:nvPicPr>
                  <pic:blipFill>
                    <a:blip r:embed="rId59"/>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position (above the flooded forest floor, or in a channel or open water at the tidal sites; the ghost and regenerating sites have no channels): chamber fluxes (filled circles; bars, arithmetic means) and fluxes estimated from dissolved CH4 (open symbols; F = k600 (Sc/600)^−0.5 (Cw − Ceq) with k600 = 1.29 cm h−1, whiskers 0.49–6.8, the range of site medians; M8): our plot surface-water samples (diamonds) and the BlueFlux tidal-river survey (squares; river stations and the SRS6 tidal creek; Vaughn and Raymond 2024). At SRS5 and SRS6 in March 2023, channel and floor chamber fluxes did not differ (Wilcoxon p = 0.29 and 1). The dissolved estimates span the chamber fluxes except at CP40 in October 2022, where the plot sample was depleted in CH4 (25 nM) while the chambers recorded ebullition.</w:t>
      </w:r>
    </w:p>
    <w:p>
      <w:pPr>
        <w:pStyle w:val="BodyText"/>
      </w:pPr>
      <w:r>
        <w:drawing>
          <wp:inline>
            <wp:extent cx="5334000" cy="6815666"/>
            <wp:effectExtent b="0" l="0" r="0" t="0"/>
            <wp:docPr descr="" title="" id="63" name="Picture"/>
            <a:graphic>
              <a:graphicData uri="http://schemas.openxmlformats.org/drawingml/2006/picture">
                <pic:pic>
                  <pic:nvPicPr>
                    <pic:cNvPr descr="output/figures/other/pub_component_by_plot_campaign_combined_condensed_boot.png" id="64" name="Picture"/>
                    <pic:cNvPicPr>
                      <a:picLocks noChangeArrowheads="1" noChangeAspect="1"/>
                    </pic:cNvPicPr>
                  </pic:nvPicPr>
                  <pic:blipFill>
                    <a:blip r:embed="rId62"/>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5185833"/>
            <wp:effectExtent b="0" l="0" r="0" t="0"/>
            <wp:docPr descr="" title="" id="66" name="Picture"/>
            <a:graphic>
              <a:graphicData uri="http://schemas.openxmlformats.org/drawingml/2006/picture">
                <pic:pic>
                  <pic:nvPicPr>
                    <pic:cNvPr descr="output/figures/other/pub_SI_ebullition_partition.png" id="67" name="Picture"/>
                    <pic:cNvPicPr>
                      <a:picLocks noChangeArrowheads="1" noChangeAspect="1"/>
                    </pic:cNvPicPr>
                  </pic:nvPicPr>
                  <pic:blipFill>
                    <a:blip r:embed="rId65"/>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3407833"/>
            <wp:effectExtent b="0" l="0" r="0" t="0"/>
            <wp:docPr descr="" title="" id="69" name="Picture"/>
            <a:graphic>
              <a:graphicData uri="http://schemas.openxmlformats.org/drawingml/2006/picture">
                <pic:pic>
                  <pic:nvPicPr>
                    <pic:cNvPr descr="output/figures/other/pub_SI_pneumatophore_density.png" id="70" name="Picture"/>
                    <pic:cNvPicPr>
                      <a:picLocks noChangeArrowheads="1" noChangeAspect="1"/>
                    </pic:cNvPicPr>
                  </pic:nvPicPr>
                  <pic:blipFill>
                    <a:blip r:embed="rId68"/>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4593166"/>
            <wp:effectExtent b="0" l="0" r="0" t="0"/>
            <wp:docPr descr="" title="" id="72" name="Picture"/>
            <a:graphic>
              <a:graphicData uri="http://schemas.openxmlformats.org/drawingml/2006/picture">
                <pic:pic>
                  <pic:nvPicPr>
                    <pic:cNvPr descr="output/figures/other/pub_stem_height_composite_combined.png" id="73" name="Picture"/>
                    <pic:cNvPicPr>
                      <a:picLocks noChangeArrowheads="1" noChangeAspect="1"/>
                    </pic:cNvPicPr>
                  </pic:nvPicPr>
                  <pic:blipFill>
                    <a:blip r:embed="rId71"/>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6371166"/>
            <wp:effectExtent b="0" l="0" r="0" t="0"/>
            <wp:docPr descr="" title="" id="75" name="Picture"/>
            <a:graphic>
              <a:graphicData uri="http://schemas.openxmlformats.org/drawingml/2006/picture">
                <pic:pic>
                  <pic:nvPicPr>
                    <pic:cNvPr descr="output/figures/other/stem_extrap_clean.png" id="76" name="Picture"/>
                    <pic:cNvPicPr>
                      <a:picLocks noChangeArrowheads="1" noChangeAspect="1"/>
                    </pic:cNvPicPr>
                  </pic:nvPicPr>
                  <pic:blipFill>
                    <a:blip r:embed="rId74"/>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Stem height extrapolation (text S1).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78" name="Picture"/>
            <a:graphic>
              <a:graphicData uri="http://schemas.openxmlformats.org/drawingml/2006/picture">
                <pic:pic>
                  <pic:nvPicPr>
                    <pic:cNvPr descr="output/figures/other/SA_by_segment_height_fixedY.png" id="79" name="Picture"/>
                    <pic:cNvPicPr>
                      <a:picLocks noChangeArrowheads="1" noChangeAspect="1"/>
                    </pic:cNvPicPr>
                  </pic:nvPicPr>
                  <pic:blipFill>
                    <a:blip r:embed="rId7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2963333"/>
            <wp:effectExtent b="0" l="0" r="0" t="0"/>
            <wp:docPr descr="" title="" id="81" name="Picture"/>
            <a:graphic>
              <a:graphicData uri="http://schemas.openxmlformats.org/drawingml/2006/picture">
                <pic:pic>
                  <pic:nvPicPr>
                    <pic:cNvPr descr="output/figures/other/si_tide_states.png" id="82" name="Picture"/>
                    <pic:cNvPicPr>
                      <a:picLocks noChangeArrowheads="1" noChangeAspect="1"/>
                    </pic:cNvPicPr>
                  </pic:nvPicPr>
                  <pic:blipFill>
                    <a:blip r:embed="rId80"/>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3704166"/>
            <wp:effectExtent b="0" l="0" r="0" t="0"/>
            <wp:docPr descr="" title="" id="84" name="Picture"/>
            <a:graphic>
              <a:graphicData uri="http://schemas.openxmlformats.org/drawingml/2006/picture">
                <pic:pic>
                  <pic:nvPicPr>
                    <pic:cNvPr descr="output/figures/other/si_flood_fraction.png" id="85" name="Picture"/>
                    <pic:cNvPicPr>
                      <a:picLocks noChangeArrowheads="1" noChangeAspect="1"/>
                    </pic:cNvPicPr>
                  </pic:nvPicPr>
                  <pic:blipFill>
                    <a:blip r:embed="rId83"/>
                    <a:stretch>
                      <a:fillRect/>
                    </a:stretch>
                  </pic:blipFill>
                  <pic:spPr bwMode="auto">
                    <a:xfrm>
                      <a:off x="0" y="0"/>
                      <a:ext cx="5334000" cy="3704166"/>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Flooded share of the intact forest floor at the tidal sites (M11; table S13). (a) Hourly water level (FCE LTER logger datum) at SRS5 and SRS6 in the campaign months; points, logger level at each chamber water-depth reading (filled, standing water; open, none); dashed line and band, fitted mean floor height ± 1 SD. (b) Floor height relative to the logger datum, fitted as a normal distribution by censored maximum likelihood from the depth readings (green; rug, readings with standing water), against the distribution of hourly water level in each campaign month; floor below the water is flooded. (c) Campaign-month flooded share: area-weighted mean of the hourly flooded share (central; bars, floor mean ± 1.96 SE), the all-or-nothing switch (whole floor flooded when the offset-corrected logger level is above zero) and the long-term area-weighted value (2010 onward, dashed).</w:t>
      </w:r>
    </w:p>
    <w:p>
      <w:pPr>
        <w:pStyle w:val="BodyText"/>
      </w:pPr>
      <w:r>
        <w:drawing>
          <wp:inline>
            <wp:extent cx="5334000" cy="4741333"/>
            <wp:effectExtent b="0" l="0" r="0" t="0"/>
            <wp:docPr descr="" title="" id="87" name="Picture"/>
            <a:graphic>
              <a:graphicData uri="http://schemas.openxmlformats.org/drawingml/2006/picture">
                <pic:pic>
                  <pic:nvPicPr>
                    <pic:cNvPr descr="output/figures/other/si_waterline.png" id="88" name="Picture"/>
                    <pic:cNvPicPr>
                      <a:picLocks noChangeArrowheads="1" noChangeAspect="1"/>
                    </pic:cNvPicPr>
                  </pic:nvPicPr>
                  <pic:blipFill>
                    <a:blip r:embed="rId86"/>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Water level against the woody surfaces at the four laser-scanned sites (M10, M11; vertical axis to scale, cm above the plot’s mean floor; horizontal positions, prop-root reach and pneumatophores illustrative). Lines, water level by campaign (dark, wet season, October 2022; light, dry season, March 2023): at the tidal intact sites (a, b), mean high (dashed) and low (solid) water of the campaign month from the FCE LTER loggers; at the ghost sites (c, d), mean recorded depth. Floor relief follows the fitted floor-height distribution (tidal sites) or the recorded depths (ghost sites); stems stand on the mean floor (tidal) or at the mean floor height of the stem chambers (ghost); stem and prop-root diameters, root heights and stem number per 7 m are from TLS; downed wood has the median measured diameter and lies on the mean floor. Subtitles give the share of each surface above water used in the budgets (mean of the two campaigns; lowest 0.5 m of stem), the flooded share of the floor, and the median annual maximum water level (2001–2024). Hourly extremes (99th and 1st percentiles) in the campaign months were +20 and −2 cm (October) and +12 and −28 cm (March) at SRS5, and +43 and −3 cm and +33 and −26 cm at SRS6.</w:t>
      </w:r>
    </w:p>
    <w:p>
      <w:pPr>
        <w:pStyle w:val="BodyText"/>
      </w:pPr>
      <w:r>
        <w:drawing>
          <wp:inline>
            <wp:extent cx="5334000" cy="3704166"/>
            <wp:effectExtent b="0" l="0" r="0" t="0"/>
            <wp:docPr descr="" title="" id="90" name="Picture"/>
            <a:graphic>
              <a:graphicData uri="http://schemas.openxmlformats.org/drawingml/2006/picture">
                <pic:pic>
                  <pic:nvPicPr>
                    <pic:cNvPr descr="output/figures/other/si_k600_compare.png" id="91" name="Picture"/>
                    <pic:cNvPicPr>
                      <a:picLocks noChangeArrowheads="1" noChangeAspect="1"/>
                    </pic:cNvPicPr>
                  </pic:nvPicPr>
                  <pic:blipFill>
                    <a:blip r:embed="rId89"/>
                    <a:stretch>
                      <a:fillRect/>
                    </a:stretch>
                  </pic:blipFill>
                  <pic:spPr bwMode="auto">
                    <a:xfrm>
                      <a:off x="0" y="0"/>
                      <a:ext cx="5334000" cy="3704166"/>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Gas-transfer velocity (k600) used for the water-surface fluxes estimated from dissolved gases (M8), against published values. Orange, Everglades measurements and the Everglades-fitted relation; grey, other systems; circles, measurements; triangles, equations. Diamond, median of the site medians of chamber-implied k600 (1.29 cm h−1; dashed line), the value used; bar, range of the site medians; ticks, the site medians. Measured: sheltered Everglades wetland water (Happell et al. 1995; Variano et al. 2009; Ho et al. 2018, as compiled there), Shark River channel tracer releases (Ho et al. 2014, 2016) and the river and estuary compilation of Raymond and Cole (2001). Equations, evaluated for forest-floor water (no current, 0.1 m depth) at the 1.2–2.4 m s−1 winds of the campaigns (point at 1.8): Ho et al. (2016) and Borges et al. (2004) without their current terms, Rosentreter et al. (2017; CH4), Wanninkhof (2014), Cole and Caraco (1998) and the three wind fits of Raymond and Cole (2001). The stream relations of Raymond et al. (2012) require channel slope and velocity and are not applicable to standing water.</w:t>
      </w:r>
    </w:p>
    <w:p>
      <w:pPr>
        <w:pStyle w:val="BodyText"/>
      </w:pPr>
      <w:r>
        <w:drawing>
          <wp:inline>
            <wp:extent cx="5334000" cy="4593166"/>
            <wp:effectExtent b="0" l="0" r="0" t="0"/>
            <wp:docPr descr="" title="" id="93" name="Picture"/>
            <a:graphic>
              <a:graphicData uri="http://schemas.openxmlformats.org/drawingml/2006/picture">
                <pic:pic>
                  <pic:nvPicPr>
                    <pic:cNvPr descr="output/figures/other/si_sensitivity_switch.png" id="94" name="Picture"/>
                    <pic:cNvPicPr>
                      <a:picLocks noChangeArrowheads="1" noChangeAspect="1"/>
                    </pic:cNvPicPr>
                  </pic:nvPicPr>
                  <pic:blipFill>
                    <a:blip r:embed="rId92"/>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Sensitivity of the intact-to-ghost switch (GWP20) to analytical choices, one at a time (text S9; table S10). Vertical line, central case (6,369 g CO2-eq m−2 yr−1); points left of it lower the switch, right of it raise it. Analytical choices keep the switch between ~5,600 and ~8,000 (GWP100: ~5,000–7,300); only carbon-balance framings that count lateral export or storage alone lower it further.</w:t>
      </w:r>
    </w:p>
    <w:p>
      <w:pPr>
        <w:pStyle w:val="BodyText"/>
      </w:pPr>
      <w:r>
        <w:drawing>
          <wp:inline>
            <wp:extent cx="5334000" cy="2667000"/>
            <wp:effectExtent b="0" l="0" r="0" t="0"/>
            <wp:docPr descr="" title="" id="96" name="Picture"/>
            <a:graphic>
              <a:graphicData uri="http://schemas.openxmlformats.org/drawingml/2006/picture">
                <pic:pic>
                  <pic:nvPicPr>
                    <pic:cNvPr descr="output/figures/other/si_S10_mc_uncertainty.png" id="97" name="Picture"/>
                    <pic:cNvPicPr>
                      <a:picLocks noChangeArrowheads="1" noChangeAspect="1"/>
                    </pic:cNvPicPr>
                  </pic:nvPicPr>
                  <pic:blipFill>
                    <a:blip r:embed="rId9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S4); inverse-hyperbolic-sine axis; components that are always zero omitted.</w:t>
      </w:r>
    </w:p>
    <w:p>
      <w:pPr>
        <w:pStyle w:val="BodyText"/>
      </w:pPr>
      <w:r>
        <w:drawing>
          <wp:inline>
            <wp:extent cx="5334000" cy="5482166"/>
            <wp:effectExtent b="0" l="0" r="0" t="0"/>
            <wp:docPr descr="" title="" id="99" name="Picture"/>
            <a:graphic>
              <a:graphicData uri="http://schemas.openxmlformats.org/drawingml/2006/picture">
                <pic:pic>
                  <pic:nvPicPr>
                    <pic:cNvPr descr="output/figures/other/ed_porewater_rounds.png" id="100" name="Picture"/>
                    <pic:cNvPicPr>
                      <a:picLocks noChangeArrowheads="1" noChangeAspect="1"/>
                    </pic:cNvPicPr>
                  </pic:nvPicPr>
                  <pic:blipFill>
                    <a:blip r:embed="rId98"/>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S17.</w:t>
      </w:r>
      <w:r>
        <w:t xml:space="preserve"> </w:t>
      </w:r>
      <w:r>
        <w:t xml:space="preserve">Porewater by site, sampling round (October 2022, March 2023, October 2025) and depth: (a) dissolved CH4 and (b) salinity (site × round × depth means; porewater only); (c) salinity against dissolved CH4 by site (including surface water; shape, round; log(1 + x) axis). Site names coloured by forest class. No porewater CH4 was analysed for SRS5 and SRS6 in March 2023.</w:t>
      </w:r>
    </w:p>
    <w:p>
      <w:pPr>
        <w:pStyle w:val="BodyText"/>
      </w:pPr>
      <w:r>
        <w:drawing>
          <wp:inline>
            <wp:extent cx="5334000" cy="2222500"/>
            <wp:effectExtent b="0" l="0" r="0" t="0"/>
            <wp:docPr descr="" title="" id="102" name="Picture"/>
            <a:graphic>
              <a:graphicData uri="http://schemas.openxmlformats.org/drawingml/2006/picture">
                <pic:pic>
                  <pic:nvPicPr>
                    <pic:cNvPr descr="output/figures/other/si_S12_carbonate.png" id="103" name="Picture"/>
                    <pic:cNvPicPr>
                      <a:picLocks noChangeArrowheads="1" noChangeAspect="1"/>
                    </pic:cNvPicPr>
                  </pic:nvPicPr>
                  <pic:blipFill>
                    <a:blip r:embed="rId101"/>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S18.</w:t>
      </w:r>
      <w:r>
        <w:t xml:space="preserve"> </w:t>
      </w:r>
      <w:r>
        <w:t xml:space="preserve">Porewater alkalinity against conservative mixing (October 2025; 0–90 cm, surface water excluded; text S7). (a) Total alkalinity against salinity, with the mixing line (dashed; end-members salinity 0, 3,000 µM and salinity 35, 2,400 µM). (b) Measured against mixing-predicted alkalinity; dashed, 1:1. (c) Measured ÷ mixing-predicted alkalinity by site. Fill, forest class; shape, site. FLM30 was not sampled for alkalinity.</w:t>
      </w:r>
    </w:p>
    <w:p>
      <w:pPr>
        <w:pStyle w:val="BodyText"/>
      </w:pPr>
      <w:r>
        <w:drawing>
          <wp:inline>
            <wp:extent cx="5334000" cy="1926166"/>
            <wp:effectExtent b="0" l="0" r="0" t="0"/>
            <wp:docPr descr="" title="" id="105" name="Picture"/>
            <a:graphic>
              <a:graphicData uri="http://schemas.openxmlformats.org/drawingml/2006/picture">
                <pic:pic>
                  <pic:nvPicPr>
                    <pic:cNvPr descr="output/figures/other/si_campaign_context.png" id="106" name="Picture"/>
                    <pic:cNvPicPr>
                      <a:picLocks noChangeArrowheads="1" noChangeAspect="1"/>
                    </pic:cNvPicPr>
                  </pic:nvPicPr>
                  <pic:blipFill>
                    <a:blip r:embed="rId104"/>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 S19.</w:t>
      </w:r>
      <w:r>
        <w:t xml:space="preserve"> </w:t>
      </w:r>
      <w:r>
        <w:t xml:space="preserve">Campaign context (M2). Monthly z-scores of SRS6 water level (FCE LTER, 2001–2024), air temperature and midday net CO2 uptake (US-Skr tower, 2004–2011 and 2018–2023) and tower CH4 flux (2018–2023; FCH4 + storage, quality flag ≤ 1, u* &gt; 0.2), each standardised over all of its year-months. Lines, median for each calendar month; bands, interquartile range across years (16–22 years per month for water level, 2–6 for tower CH4); points, the campaign months (October 2022, March 2023) with ±1 SD of daily means within the month; shading, campaign months. The tower CH4 record carries a negative dry-season offset that the z-score removes; only its seasonal pattern is shown.</w:t>
      </w:r>
    </w:p>
    <w:p>
      <w:pPr>
        <w:pStyle w:val="BodyText"/>
      </w:pPr>
      <w:r>
        <w:rPr>
          <w:b/>
          <w:bCs/>
        </w:rPr>
        <w:t xml:space="preserve">Fig. S20.</w:t>
      </w:r>
      <w:r>
        <w:t xml:space="preserve"> </w:t>
      </w:r>
      <w:r>
        <w:rPr>
          <w:i/>
          <w:iCs/>
        </w:rPr>
        <w:t xml:space="preserve">[PLACEHOLDER — CARAFE flight tracks and coverage (E. Delaria): flight legs of each deployment (April 2022, October 2022, February and April 2023, July 2024) over the mangrove extent and the 2017 dieback; footprint climatology; area of intact and ghost mangrove within the footprints (km2) and its share of each class in south Florida; the ground sites marked.]</w:t>
      </w:r>
    </w:p>
    <w:p>
      <w:pPr>
        <w:pStyle w:val="BodyText"/>
      </w:pPr>
      <w:r>
        <w:drawing>
          <wp:inline>
            <wp:extent cx="5334000" cy="2370666"/>
            <wp:effectExtent b="0" l="0" r="0" t="0"/>
            <wp:docPr descr="" title="" id="108" name="Picture"/>
            <a:graphic>
              <a:graphicData uri="http://schemas.openxmlformats.org/drawingml/2006/picture">
                <pic:pic>
                  <pic:nvPicPr>
                    <pic:cNvPr descr="output/figures/other/si_switch_methods.png" id="109" name="Picture"/>
                    <pic:cNvPicPr>
                      <a:picLocks noChangeArrowheads="1" noChangeAspect="1"/>
                    </pic:cNvPicPr>
                  </pic:nvPicPr>
                  <pic:blipFill>
                    <a:blip r:embed="rId107"/>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S21.</w:t>
      </w:r>
      <w:r>
        <w:t xml:space="preserve"> </w:t>
      </w:r>
      <w:r>
        <w:t xml:space="preserve">The intact-to-ghost switch by three routes (text S5): chamber site budgets (this study; Monte Carlo 95% interval); CARAFE airborne class fluxes alone (Delaria et al. 2024; four deployments, wet and dry seasons weighted equally), with midday CO2 scaled to daily for both classes by the tower relation of Doughty et al. (2026), and as a sensitivity with ghost midday flux taken as daily (pale); and the BlueFlux regional upscaling (Doughty et al. 2026), mangrove-forest versus mapped-dieback pixels, 2022–2024 (values read from its figs. S2 and S3; no interval). Bars, CO2 and CH4 parts; diamonds and whiskers, switch and 95% interval.</w:t>
      </w:r>
    </w:p>
    <w:p>
      <w:pPr>
        <w:pStyle w:val="BodyText"/>
      </w:pPr>
      <w:r>
        <w:rPr>
          <w:b/>
          <w:bCs/>
        </w:rPr>
        <w:t xml:space="preserve">Fig. S22.</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10"/>
    <w:bookmarkStart w:id="111" w:name="supplementary-tables"/>
    <w:p>
      <w:pPr>
        <w:pStyle w:val="Heading1"/>
      </w:pPr>
      <w:r>
        <w:t xml:space="preserve">Supplementary Tables</w:t>
      </w:r>
    </w:p>
    <w:p>
      <w:pPr>
        <w:pStyle w:val="FirstParagraph"/>
      </w:pPr>
      <w:r>
        <w:rPr>
          <w:b/>
          <w:bCs/>
        </w:rPr>
        <w:t xml:space="preserve">Table S1. Study sites.</w:t>
      </w:r>
      <w:r>
        <w:t xml:space="preserve"> </w:t>
      </w:r>
      <w:r>
        <w:t xml:space="preserve">Core sites (SRS5–FLM30) and context sites (RB10, SE1, MI). Campaigns: month and year (number of chamber closures). Stand structure from terrestrial laser scanning of the four scanned plots (M10); DBH and height include standing dead trunks at the ghost sites; woody surface per m² of ground. FCE LTER: trees &gt; 2.5 cm DBH in two 20 × 20 m plots, 2023 survey (data S2). Water level: at the tidal sites, mean high / low water of the campaign month above the plot’s mean floor (FCE LTER loggers; M11), with the flooded share of the floor in hours; elsewhere, mean (maximum) water depth recorded at chamber positions. Porewater salinity: mean of the porewater samples (M16).</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p>
        </w:tc>
        <w:tc>
          <w:tcPr/>
          <w:p>
            <w:pPr>
              <w:pStyle w:val="Compact"/>
            </w:pPr>
            <w:r>
              <w:t xml:space="preserve">SRS5</w:t>
            </w:r>
          </w:p>
        </w:tc>
        <w:tc>
          <w:tcPr/>
          <w:p>
            <w:pPr>
              <w:pStyle w:val="Compact"/>
            </w:pPr>
            <w:r>
              <w:t xml:space="preserve">SRS6</w:t>
            </w:r>
          </w:p>
        </w:tc>
        <w:tc>
          <w:tcPr/>
          <w:p>
            <w:pPr>
              <w:pStyle w:val="Compact"/>
            </w:pPr>
            <w:r>
              <w:t xml:space="preserve">BL60</w:t>
            </w:r>
          </w:p>
        </w:tc>
        <w:tc>
          <w:tcPr/>
          <w:p>
            <w:pPr>
              <w:pStyle w:val="Compact"/>
            </w:pPr>
            <w:r>
              <w:t xml:space="preserve">CP40</w:t>
            </w:r>
          </w:p>
        </w:tc>
        <w:tc>
          <w:tcPr/>
          <w:p>
            <w:pPr>
              <w:pStyle w:val="Compact"/>
            </w:pPr>
            <w:r>
              <w:t xml:space="preserve">FLM30</w:t>
            </w:r>
          </w:p>
        </w:tc>
        <w:tc>
          <w:tcPr/>
          <w:p>
            <w:pPr>
              <w:pStyle w:val="Compact"/>
            </w:pPr>
            <w:r>
              <w:t xml:space="preserve">RB10</w:t>
            </w:r>
          </w:p>
        </w:tc>
        <w:tc>
          <w:tcPr/>
          <w:p>
            <w:pPr>
              <w:pStyle w:val="Compact"/>
            </w:pPr>
            <w:r>
              <w:t xml:space="preserve">SE1</w:t>
            </w:r>
          </w:p>
        </w:tc>
        <w:tc>
          <w:tcPr/>
          <w:p>
            <w:pPr>
              <w:pStyle w:val="Compact"/>
            </w:pPr>
            <w:r>
              <w:t xml:space="preserve">MI</w:t>
            </w:r>
          </w:p>
        </w:tc>
      </w:tr>
      <w:tr>
        <w:tc>
          <w:tcPr/>
          <w:p>
            <w:pPr>
              <w:pStyle w:val="Compact"/>
            </w:pPr>
            <w:r>
              <w:t xml:space="preserve">Name</w:t>
            </w:r>
          </w:p>
        </w:tc>
        <w:tc>
          <w:tcPr/>
          <w:p>
            <w:pPr>
              <w:pStyle w:val="Compact"/>
            </w:pPr>
            <w:r>
              <w:t xml:space="preserve">Gunboat Island / SRS5</w:t>
            </w:r>
          </w:p>
        </w:tc>
        <w:tc>
          <w:tcPr/>
          <w:p>
            <w:pPr>
              <w:pStyle w:val="Compact"/>
            </w:pPr>
            <w:r>
              <w:t xml:space="preserve">Lower Shark / SRS6</w:t>
            </w:r>
          </w:p>
        </w:tc>
        <w:tc>
          <w:tcPr/>
          <w:p>
            <w:pPr>
              <w:pStyle w:val="Compact"/>
            </w:pPr>
            <w:r>
              <w:t xml:space="preserve">Bear Lake</w:t>
            </w:r>
          </w:p>
        </w:tc>
        <w:tc>
          <w:tcPr/>
          <w:p>
            <w:pPr>
              <w:pStyle w:val="Compact"/>
            </w:pPr>
            <w:r>
              <w:t xml:space="preserve">Christian Point</w:t>
            </w:r>
          </w:p>
        </w:tc>
        <w:tc>
          <w:tcPr/>
          <w:p>
            <w:pPr>
              <w:pStyle w:val="Compact"/>
            </w:pPr>
            <w:r>
              <w:t xml:space="preserve">Flamingo</w:t>
            </w:r>
          </w:p>
        </w:tc>
        <w:tc>
          <w:tcPr/>
          <w:p>
            <w:pPr>
              <w:pStyle w:val="Compact"/>
            </w:pPr>
            <w:r>
              <w:t xml:space="preserve">Rookery Bay</w:t>
            </w:r>
          </w:p>
        </w:tc>
        <w:tc>
          <w:tcPr/>
          <w:p>
            <w:pPr>
              <w:pStyle w:val="Compact"/>
            </w:pPr>
            <w:r>
              <w:t xml:space="preserve">Intrusion marsh (SE-1 / US-EvM)</w:t>
            </w:r>
          </w:p>
        </w:tc>
        <w:tc>
          <w:tcPr/>
          <w:p>
            <w:pPr>
              <w:pStyle w:val="Compact"/>
            </w:pPr>
            <w:r>
              <w:t xml:space="preserve">Marco Island</w:t>
            </w:r>
          </w:p>
        </w:tc>
      </w:tr>
      <w:tr>
        <w:tc>
          <w:tcPr/>
          <w:p>
            <w:pPr>
              <w:pStyle w:val="Compact"/>
            </w:pPr>
            <w:r>
              <w:t xml:space="preserve">Class</w:t>
            </w:r>
          </w:p>
        </w:tc>
        <w:tc>
          <w:tcPr/>
          <w:p>
            <w:pPr>
              <w:pStyle w:val="Compact"/>
            </w:pPr>
            <w:r>
              <w:t xml:space="preserve">intact</w:t>
            </w:r>
          </w:p>
        </w:tc>
        <w:tc>
          <w:tcPr/>
          <w:p>
            <w:pPr>
              <w:pStyle w:val="Compact"/>
            </w:pPr>
            <w:r>
              <w:t xml:space="preserve">intact</w:t>
            </w:r>
          </w:p>
        </w:tc>
        <w:tc>
          <w:tcPr/>
          <w:p>
            <w:pPr>
              <w:pStyle w:val="Compact"/>
            </w:pPr>
            <w:r>
              <w:t xml:space="preserve">regenerating</w:t>
            </w:r>
          </w:p>
        </w:tc>
        <w:tc>
          <w:tcPr/>
          <w:p>
            <w:pPr>
              <w:pStyle w:val="Compact"/>
            </w:pPr>
            <w:r>
              <w:t xml:space="preserve">ghost</w:t>
            </w:r>
          </w:p>
        </w:tc>
        <w:tc>
          <w:tcPr/>
          <w:p>
            <w:pPr>
              <w:pStyle w:val="Compact"/>
            </w:pPr>
            <w:r>
              <w:t xml:space="preserve">ghost</w:t>
            </w:r>
          </w:p>
        </w:tc>
        <w:tc>
          <w:tcPr/>
          <w:p>
            <w:pPr>
              <w:pStyle w:val="Compact"/>
            </w:pPr>
            <w:r>
              <w:t xml:space="preserve">intact (context)</w:t>
            </w:r>
          </w:p>
        </w:tc>
        <w:tc>
          <w:tcPr/>
          <w:p>
            <w:pPr>
              <w:pStyle w:val="Compact"/>
            </w:pPr>
            <w:r>
              <w:t xml:space="preserve">scrub (context)</w:t>
            </w:r>
          </w:p>
        </w:tc>
        <w:tc>
          <w:tcPr/>
          <w:p>
            <w:pPr>
              <w:pStyle w:val="Compact"/>
            </w:pPr>
            <w:r>
              <w:t xml:space="preserve">ghost (context)</w:t>
            </w:r>
          </w:p>
        </w:tc>
      </w:tr>
      <w:tr>
        <w:tc>
          <w:tcPr/>
          <w:p>
            <w:pPr>
              <w:pStyle w:val="Compact"/>
            </w:pPr>
            <w:r>
              <w:t xml:space="preserve">Latitude, longitude</w:t>
            </w:r>
          </w:p>
        </w:tc>
        <w:tc>
          <w:tcPr/>
          <w:p>
            <w:pPr>
              <w:pStyle w:val="Compact"/>
            </w:pPr>
            <w:r>
              <w:t xml:space="preserve">25.3770, -81.0323</w:t>
            </w:r>
          </w:p>
        </w:tc>
        <w:tc>
          <w:tcPr/>
          <w:p>
            <w:pPr>
              <w:pStyle w:val="Compact"/>
            </w:pPr>
            <w:r>
              <w:t xml:space="preserve">25.3646, -81.0779</w:t>
            </w:r>
          </w:p>
        </w:tc>
        <w:tc>
          <w:tcPr/>
          <w:p>
            <w:pPr>
              <w:pStyle w:val="Compact"/>
            </w:pPr>
            <w:r>
              <w:t xml:space="preserve">25.1578, -80.9232</w:t>
            </w:r>
          </w:p>
        </w:tc>
        <w:tc>
          <w:tcPr/>
          <w:p>
            <w:pPr>
              <w:pStyle w:val="Compact"/>
            </w:pPr>
            <w:r>
              <w:t xml:space="preserve">25.1493, -80.9110</w:t>
            </w:r>
          </w:p>
        </w:tc>
        <w:tc>
          <w:tcPr/>
          <w:p>
            <w:pPr>
              <w:pStyle w:val="Compact"/>
            </w:pPr>
            <w:r>
              <w:t xml:space="preserve">25.1599, -80.9120</w:t>
            </w:r>
          </w:p>
        </w:tc>
        <w:tc>
          <w:tcPr/>
          <w:p>
            <w:pPr>
              <w:pStyle w:val="Compact"/>
            </w:pPr>
            <w:r>
              <w:t xml:space="preserve">25.8629, -81.5612</w:t>
            </w:r>
          </w:p>
        </w:tc>
        <w:tc>
          <w:tcPr/>
          <w:p>
            <w:pPr>
              <w:pStyle w:val="Compact"/>
            </w:pPr>
            <w:r>
              <w:t xml:space="preserve">25.3531, -80.3807</w:t>
            </w:r>
          </w:p>
        </w:tc>
        <w:tc>
          <w:tcPr/>
          <w:p>
            <w:pPr>
              <w:pStyle w:val="Compact"/>
            </w:pPr>
            <w:r>
              <w:t xml:space="preserve">25.9303, -81.6725</w:t>
            </w:r>
          </w:p>
        </w:tc>
      </w:tr>
      <w:tr>
        <w:tc>
          <w:tcPr/>
          <w:p>
            <w:pPr>
              <w:pStyle w:val="Compact"/>
            </w:pPr>
            <w:r>
              <w:t xml:space="preserve">Dominant species</w:t>
            </w:r>
          </w:p>
        </w:tc>
        <w:tc>
          <w:tcPr/>
          <w:p>
            <w:pPr>
              <w:pStyle w:val="Compact"/>
            </w:pPr>
            <w:r>
              <w:rPr>
                <w:i/>
                <w:iCs/>
              </w:rPr>
              <w:t xml:space="preserve">Rhizophora mangle</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c>
          <w:tcPr/>
          <w:p>
            <w:pPr>
              <w:pStyle w:val="Compact"/>
            </w:pPr>
            <w:r>
              <w:rPr>
                <w:i/>
                <w:iCs/>
              </w:rPr>
              <w:t xml:space="preserve">Avicennia germinans</w:t>
            </w:r>
            <w:r>
              <w:t xml:space="preserve">,</w:t>
            </w:r>
            <w:r>
              <w:t xml:space="preserve"> </w:t>
            </w:r>
            <w:r>
              <w:rPr>
                <w:i/>
                <w:iCs/>
              </w:rPr>
              <w:t xml:space="preserve">Conocarpus erectus</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r>
      <w:tr>
        <w:tc>
          <w:tcPr/>
          <w:p>
            <w:pPr>
              <w:pStyle w:val="Compact"/>
            </w:pPr>
            <w:r>
              <w:t xml:space="preserve">Campaigns (closures)</w:t>
            </w:r>
          </w:p>
        </w:tc>
        <w:tc>
          <w:tcPr/>
          <w:p>
            <w:pPr>
              <w:pStyle w:val="Compact"/>
            </w:pPr>
            <w:r>
              <w:t xml:space="preserve">Oct 22 (64); Mar 23 (89)</w:t>
            </w:r>
          </w:p>
        </w:tc>
        <w:tc>
          <w:tcPr/>
          <w:p>
            <w:pPr>
              <w:pStyle w:val="Compact"/>
            </w:pPr>
            <w:r>
              <w:t xml:space="preserve">Mar 22 (15); Oct 22 (66); Mar 23 (65)</w:t>
            </w:r>
          </w:p>
        </w:tc>
        <w:tc>
          <w:tcPr/>
          <w:p>
            <w:pPr>
              <w:pStyle w:val="Compact"/>
            </w:pPr>
            <w:r>
              <w:t xml:space="preserve">Mar 22 (27); Oct 22 (44); Mar 23 (68)</w:t>
            </w:r>
          </w:p>
        </w:tc>
        <w:tc>
          <w:tcPr/>
          <w:p>
            <w:pPr>
              <w:pStyle w:val="Compact"/>
            </w:pPr>
            <w:r>
              <w:t xml:space="preserve">Oct 22 (57); Mar 23 (48)</w:t>
            </w:r>
          </w:p>
        </w:tc>
        <w:tc>
          <w:tcPr/>
          <w:p>
            <w:pPr>
              <w:pStyle w:val="Compact"/>
            </w:pPr>
            <w:r>
              <w:t xml:space="preserve">Mar 22 (43); Oct 22 (49); Mar 23 (61)</w:t>
            </w:r>
          </w:p>
        </w:tc>
        <w:tc>
          <w:tcPr/>
          <w:p>
            <w:pPr>
              <w:pStyle w:val="Compact"/>
            </w:pPr>
            <w:r>
              <w:t xml:space="preserve">Mar 22 (10)</w:t>
            </w:r>
          </w:p>
        </w:tc>
        <w:tc>
          <w:tcPr/>
          <w:p>
            <w:pPr>
              <w:pStyle w:val="Compact"/>
            </w:pPr>
            <w:r>
              <w:t xml:space="preserve">Mar 23 (17)</w:t>
            </w:r>
          </w:p>
        </w:tc>
        <w:tc>
          <w:tcPr/>
          <w:p>
            <w:pPr>
              <w:pStyle w:val="Compact"/>
            </w:pPr>
            <w:r>
              <w:t xml:space="preserve">Mar 22 (10); Mar 23 (20)</w:t>
            </w:r>
          </w:p>
        </w:tc>
      </w:tr>
      <w:tr>
        <w:tc>
          <w:tcPr/>
          <w:p>
            <w:pPr>
              <w:pStyle w:val="Compact"/>
            </w:pPr>
            <w:r>
              <w:t xml:space="preserve">Stem density (ha⁻¹)</w:t>
            </w:r>
          </w:p>
        </w:tc>
        <w:tc>
          <w:tcPr/>
          <w:p>
            <w:pPr>
              <w:pStyle w:val="Compact"/>
            </w:pPr>
            <w:r>
              <w:t xml:space="preserve">3,203</w:t>
            </w:r>
          </w:p>
        </w:tc>
        <w:tc>
          <w:tcPr/>
          <w:p>
            <w:pPr>
              <w:pStyle w:val="Compact"/>
            </w:pPr>
            <w:r>
              <w:t xml:space="preserve">1,694</w:t>
            </w:r>
          </w:p>
        </w:tc>
        <w:tc>
          <w:tcPr/>
          <w:p>
            <w:pPr>
              <w:pStyle w:val="Compact"/>
            </w:pPr>
            <w:r>
              <w:t xml:space="preserve">–</w:t>
            </w:r>
          </w:p>
        </w:tc>
        <w:tc>
          <w:tcPr/>
          <w:p>
            <w:pPr>
              <w:pStyle w:val="Compact"/>
            </w:pPr>
            <w:r>
              <w:t xml:space="preserve">552</w:t>
            </w:r>
          </w:p>
        </w:tc>
        <w:tc>
          <w:tcPr/>
          <w:p>
            <w:pPr>
              <w:pStyle w:val="Compact"/>
            </w:pPr>
            <w:r>
              <w:t xml:space="preserve">752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(m² ha⁻¹)</w:t>
            </w:r>
          </w:p>
        </w:tc>
        <w:tc>
          <w:tcPr/>
          <w:p>
            <w:pPr>
              <w:pStyle w:val="Compact"/>
            </w:pPr>
            <w:r>
              <w:t xml:space="preserve">24.5</w:t>
            </w:r>
          </w:p>
        </w:tc>
        <w:tc>
          <w:tcPr/>
          <w:p>
            <w:pPr>
              <w:pStyle w:val="Compact"/>
            </w:pPr>
            <w:r>
              <w:t xml:space="preserve">19.1</w:t>
            </w:r>
          </w:p>
        </w:tc>
        <w:tc>
          <w:tcPr/>
          <w:p>
            <w:pPr>
              <w:pStyle w:val="Compact"/>
            </w:pPr>
            <w:r>
              <w:t xml:space="preserve">–</w:t>
            </w:r>
          </w:p>
        </w:tc>
        <w:tc>
          <w:tcPr/>
          <w:p>
            <w:pPr>
              <w:pStyle w:val="Compact"/>
            </w:pPr>
            <w:r>
              <w:t xml:space="preserve">6.5</w:t>
            </w:r>
          </w:p>
        </w:tc>
        <w:tc>
          <w:tcPr/>
          <w:p>
            <w:pPr>
              <w:pStyle w:val="Compact"/>
            </w:pPr>
            <w:r>
              <w:t xml:space="preserve">5.6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Tree height, mean / 95th pct. (m)</w:t>
            </w:r>
          </w:p>
        </w:tc>
        <w:tc>
          <w:tcPr/>
          <w:p>
            <w:pPr>
              <w:pStyle w:val="Compact"/>
            </w:pPr>
            <w:r>
              <w:t xml:space="preserve">7.6 / 14.7</w:t>
            </w:r>
          </w:p>
        </w:tc>
        <w:tc>
          <w:tcPr/>
          <w:p>
            <w:pPr>
              <w:pStyle w:val="Compact"/>
            </w:pPr>
            <w:r>
              <w:t xml:space="preserve">8.6 / 19.2</w:t>
            </w:r>
          </w:p>
        </w:tc>
        <w:tc>
          <w:tcPr/>
          <w:p>
            <w:pPr>
              <w:pStyle w:val="Compact"/>
            </w:pPr>
            <w:r>
              <w:t xml:space="preserve">–</w:t>
            </w:r>
          </w:p>
        </w:tc>
        <w:tc>
          <w:tcPr/>
          <w:p>
            <w:pPr>
              <w:pStyle w:val="Compact"/>
            </w:pPr>
            <w:r>
              <w:t xml:space="preserve">6.1 / 11.8</w:t>
            </w:r>
          </w:p>
        </w:tc>
        <w:tc>
          <w:tcPr/>
          <w:p>
            <w:pPr>
              <w:pStyle w:val="Compact"/>
            </w:pPr>
            <w:r>
              <w:t xml:space="preserve">5.6 / 9.4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Mean DBH (cm)</w:t>
            </w:r>
          </w:p>
        </w:tc>
        <w:tc>
          <w:tcPr/>
          <w:p>
            <w:pPr>
              <w:pStyle w:val="Compact"/>
            </w:pPr>
            <w:r>
              <w:t xml:space="preserve">8.9</w:t>
            </w:r>
          </w:p>
        </w:tc>
        <w:tc>
          <w:tcPr/>
          <w:p>
            <w:pPr>
              <w:pStyle w:val="Compact"/>
            </w:pPr>
            <w:r>
              <w:t xml:space="preserve">10.6</w:t>
            </w:r>
          </w:p>
        </w:tc>
        <w:tc>
          <w:tcPr/>
          <w:p>
            <w:pPr>
              <w:pStyle w:val="Compact"/>
            </w:pPr>
            <w:r>
              <w:t xml:space="preserve">–</w:t>
            </w:r>
          </w:p>
        </w:tc>
        <w:tc>
          <w:tcPr/>
          <w:p>
            <w:pPr>
              <w:pStyle w:val="Compact"/>
            </w:pPr>
            <w:r>
              <w:t xml:space="preserve">10.8</w:t>
            </w:r>
          </w:p>
        </w:tc>
        <w:tc>
          <w:tcPr/>
          <w:p>
            <w:pPr>
              <w:pStyle w:val="Compact"/>
            </w:pPr>
            <w:r>
              <w:t xml:space="preserve">9.0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Woody surface, stem / root (m² m⁻²)</w:t>
            </w:r>
          </w:p>
        </w:tc>
        <w:tc>
          <w:tcPr/>
          <w:p>
            <w:pPr>
              <w:pStyle w:val="Compact"/>
            </w:pPr>
            <w:r>
              <w:t xml:space="preserve">0.98 / 0.24</w:t>
            </w:r>
          </w:p>
        </w:tc>
        <w:tc>
          <w:tcPr/>
          <w:p>
            <w:pPr>
              <w:pStyle w:val="Compact"/>
            </w:pPr>
            <w:r>
              <w:t xml:space="preserve">0.86 / 0.19</w:t>
            </w:r>
          </w:p>
        </w:tc>
        <w:tc>
          <w:tcPr/>
          <w:p>
            <w:pPr>
              <w:pStyle w:val="Compact"/>
            </w:pPr>
            <w:r>
              <w:t xml:space="preserve">–</w:t>
            </w:r>
          </w:p>
        </w:tc>
        <w:tc>
          <w:tcPr/>
          <w:p>
            <w:pPr>
              <w:pStyle w:val="Compact"/>
            </w:pPr>
            <w:r>
              <w:t xml:space="preserve">0.22 / 0.03</w:t>
            </w:r>
          </w:p>
        </w:tc>
        <w:tc>
          <w:tcPr/>
          <w:p>
            <w:pPr>
              <w:pStyle w:val="Compact"/>
            </w:pPr>
            <w:r>
              <w:t xml:space="preserve">0.17 / 0.02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Stem density / basal area, FCE LTER 2023 (ha⁻¹ / m² ha⁻¹)</w:t>
            </w:r>
          </w:p>
        </w:tc>
        <w:tc>
          <w:tcPr/>
          <w:p>
            <w:pPr>
              <w:pStyle w:val="Compact"/>
            </w:pPr>
            <w:r>
              <w:t xml:space="preserve">2,525 / 25.0</w:t>
            </w:r>
          </w:p>
        </w:tc>
        <w:tc>
          <w:tcPr/>
          <w:p>
            <w:pPr>
              <w:pStyle w:val="Compact"/>
            </w:pPr>
            <w:r>
              <w:t xml:space="preserve">1,712 / 21.0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by species, FCE LTER 2023 (%)</w:t>
            </w:r>
          </w:p>
        </w:tc>
        <w:tc>
          <w:tcPr/>
          <w:p>
            <w:pPr>
              <w:pStyle w:val="Compact"/>
            </w:pPr>
            <w:r>
              <w:rPr>
                <w:i/>
                <w:iCs/>
              </w:rPr>
              <w:t xml:space="preserve">R. mangle</w:t>
            </w:r>
            <w:r>
              <w:t xml:space="preserve"> </w:t>
            </w:r>
            <w:r>
              <w:t xml:space="preserve">75,</w:t>
            </w:r>
            <w:r>
              <w:t xml:space="preserve"> </w:t>
            </w:r>
            <w:r>
              <w:rPr>
                <w:i/>
                <w:iCs/>
              </w:rPr>
              <w:t xml:space="preserve">L. racemosa</w:t>
            </w:r>
            <w:r>
              <w:t xml:space="preserve"> </w:t>
            </w:r>
            <w:r>
              <w:t xml:space="preserve">15,</w:t>
            </w:r>
            <w:r>
              <w:t xml:space="preserve"> </w:t>
            </w:r>
            <w:r>
              <w:rPr>
                <w:i/>
                <w:iCs/>
              </w:rPr>
              <w:t xml:space="preserve">A. germinans</w:t>
            </w:r>
            <w:r>
              <w:t xml:space="preserve"> </w:t>
            </w:r>
            <w:r>
              <w:t xml:space="preserve">10</w:t>
            </w:r>
          </w:p>
        </w:tc>
        <w:tc>
          <w:tcPr/>
          <w:p>
            <w:pPr>
              <w:pStyle w:val="Compact"/>
            </w:pPr>
            <w:r>
              <w:rPr>
                <w:i/>
                <w:iCs/>
              </w:rPr>
              <w:t xml:space="preserve">R. mangle</w:t>
            </w:r>
            <w:r>
              <w:t xml:space="preserve"> </w:t>
            </w:r>
            <w:r>
              <w:t xml:space="preserve">43,</w:t>
            </w:r>
            <w:r>
              <w:t xml:space="preserve"> </w:t>
            </w:r>
            <w:r>
              <w:rPr>
                <w:i/>
                <w:iCs/>
              </w:rPr>
              <w:t xml:space="preserve">A. germinans</w:t>
            </w:r>
            <w:r>
              <w:t xml:space="preserve"> </w:t>
            </w:r>
            <w:r>
              <w:t xml:space="preserve">41,</w:t>
            </w:r>
            <w:r>
              <w:t xml:space="preserve"> </w:t>
            </w:r>
            <w:r>
              <w:rPr>
                <w:i/>
                <w:iCs/>
              </w:rPr>
              <w:t xml:space="preserve">L. racemosa</w:t>
            </w:r>
            <w:r>
              <w:t xml:space="preserve"> </w:t>
            </w:r>
            <w:r>
              <w:t xml:space="preserve">16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Water level (cm)</w:t>
            </w:r>
          </w:p>
        </w:tc>
        <w:tc>
          <w:tcPr/>
          <w:p>
            <w:pPr>
              <w:pStyle w:val="Compact"/>
            </w:pPr>
            <w:r>
              <w:t xml:space="preserve">Oct 22: +12 / -1 (62%); Mar 23: 0 / -7 (37%)</w:t>
            </w:r>
          </w:p>
        </w:tc>
        <w:tc>
          <w:tcPr/>
          <w:p>
            <w:pPr>
              <w:pStyle w:val="Compact"/>
            </w:pPr>
            <w:r>
              <w:t xml:space="preserve">Oct 22: +29 / +1 (74%); Mar 23: +17 / -5 (55%)</w:t>
            </w:r>
          </w:p>
        </w:tc>
        <w:tc>
          <w:tcPr/>
          <w:p>
            <w:pPr>
              <w:pStyle w:val="Compact"/>
            </w:pPr>
            <w:r>
              <w:t xml:space="preserve">Oct 22: 6 (15); Mar 23: 0 (0)</w:t>
            </w:r>
          </w:p>
        </w:tc>
        <w:tc>
          <w:tcPr/>
          <w:p>
            <w:pPr>
              <w:pStyle w:val="Compact"/>
            </w:pPr>
            <w:r>
              <w:t xml:space="preserve">Oct 22: 11 (23); Mar 23: 9 (24)</w:t>
            </w:r>
          </w:p>
        </w:tc>
        <w:tc>
          <w:tcPr/>
          <w:p>
            <w:pPr>
              <w:pStyle w:val="Compact"/>
            </w:pPr>
            <w:r>
              <w:t xml:space="preserve">Oct 22: 16 (31); Mar 23: 6 (27)</w:t>
            </w:r>
          </w:p>
        </w:tc>
        <w:tc>
          <w:tcPr/>
          <w:p>
            <w:pPr>
              <w:pStyle w:val="Compact"/>
            </w:pPr>
            <w:r>
              <w:t xml:space="preserve">–</w:t>
            </w:r>
          </w:p>
        </w:tc>
        <w:tc>
          <w:tcPr/>
          <w:p>
            <w:pPr>
              <w:pStyle w:val="Compact"/>
            </w:pPr>
            <w:r>
              <w:t xml:space="preserve">Mar 23: 11 (15)</w:t>
            </w:r>
          </w:p>
        </w:tc>
        <w:tc>
          <w:tcPr/>
          <w:p>
            <w:pPr>
              <w:pStyle w:val="Compact"/>
            </w:pPr>
            <w:r>
              <w:t xml:space="preserve">Mar 23: 0 (1)</w:t>
            </w:r>
          </w:p>
        </w:tc>
      </w:tr>
      <w:tr>
        <w:tc>
          <w:tcPr/>
          <w:p>
            <w:pPr>
              <w:pStyle w:val="Compact"/>
            </w:pPr>
            <w:r>
              <w:t xml:space="preserve">Porewater salinity (PSU)</w:t>
            </w:r>
          </w:p>
        </w:tc>
        <w:tc>
          <w:tcPr/>
          <w:p>
            <w:pPr>
              <w:pStyle w:val="Compact"/>
            </w:pPr>
            <w:r>
              <w:t xml:space="preserve">Oct 22: 20; Oct 25: 20</w:t>
            </w:r>
          </w:p>
        </w:tc>
        <w:tc>
          <w:tcPr/>
          <w:p>
            <w:pPr>
              <w:pStyle w:val="Compact"/>
            </w:pPr>
            <w:r>
              <w:t xml:space="preserve">Oct 22: 27; Oct 25: 29</w:t>
            </w:r>
          </w:p>
        </w:tc>
        <w:tc>
          <w:tcPr/>
          <w:p>
            <w:pPr>
              <w:pStyle w:val="Compact"/>
            </w:pPr>
            <w:r>
              <w:t xml:space="preserve">Oct 22: 38; Mar 23: 38; Oct 25: 35</w:t>
            </w:r>
          </w:p>
        </w:tc>
        <w:tc>
          <w:tcPr/>
          <w:p>
            <w:pPr>
              <w:pStyle w:val="Compact"/>
            </w:pPr>
            <w:r>
              <w:t xml:space="preserve">Oct 22: 59; Mar 23: 63; Oct 25: 49</w:t>
            </w:r>
          </w:p>
        </w:tc>
        <w:tc>
          <w:tcPr/>
          <w:p>
            <w:pPr>
              <w:pStyle w:val="Compact"/>
            </w:pPr>
            <w:r>
              <w:t xml:space="preserve">Oct 22: 64; Mar 23: 61</w:t>
            </w:r>
          </w:p>
        </w:tc>
        <w:tc>
          <w:tcPr/>
          <w:p>
            <w:pPr>
              <w:pStyle w:val="Compact"/>
            </w:pPr>
            <w:r>
              <w:t xml:space="preserve">–</w:t>
            </w:r>
          </w:p>
        </w:tc>
        <w:tc>
          <w:tcPr/>
          <w:p>
            <w:pPr>
              <w:pStyle w:val="Compact"/>
            </w:pPr>
            <w:r>
              <w:t xml:space="preserve">Mar 23: 8</w:t>
            </w:r>
          </w:p>
        </w:tc>
        <w:tc>
          <w:tcPr/>
          <w:p>
            <w:pPr>
              <w:pStyle w:val="Compact"/>
            </w:pPr>
            <w:r>
              <w:t xml:space="preserv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r>
        <w:t xml:space="preserve"> </w:t>
      </w:r>
      <w:r>
        <w:t xml:space="preserve">The intact water-surface term in October 2022 (SRS5, SRS6), where no floating chamber was deployed, was estimated from dissolved CH4 and CO2 (M8).</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33.89)</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3.96)</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(-2.29 to -0.34)</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(-3.33 to -1.24)</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(0.40 to 2.11)</w:t>
            </w:r>
          </w:p>
        </w:tc>
        <w:tc>
          <w:tcPr/>
          <w:p>
            <w:pPr>
              <w:pStyle w:val="Compact"/>
            </w:pPr>
            <w:r>
              <w:t xml:space="preserve">2.26 (1.25 to 3.57)</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(0.66 to 14.59)</w:t>
            </w:r>
          </w:p>
        </w:tc>
        <w:tc>
          <w:tcPr/>
          <w:p>
            <w:pPr>
              <w:pStyle w:val="Compact"/>
            </w:pPr>
            <w:r>
              <w:t xml:space="preserve">2.17 (1.16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3.11)</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5.19)</w:t>
            </w:r>
          </w:p>
        </w:tc>
        <w:tc>
          <w:tcPr/>
          <w:p>
            <w:pPr>
              <w:pStyle w:val="Compact"/>
            </w:pPr>
            <w:r>
              <w:t xml:space="preserve">0.54 (0.05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(4.88 to 21.68)</w:t>
            </w:r>
          </w:p>
        </w:tc>
        <w:tc>
          <w:tcPr/>
          <w:p>
            <w:pPr>
              <w:pStyle w:val="Compact"/>
            </w:pPr>
            <w:r>
              <w:t xml:space="preserve">1.49 (0.92 to 2.03)</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2.16)</w:t>
            </w:r>
          </w:p>
        </w:tc>
        <w:tc>
          <w:tcPr/>
          <w:p>
            <w:pPr>
              <w:pStyle w:val="Compact"/>
            </w:pPr>
            <w:r>
              <w:t xml:space="preserve">1.29 (1.04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(5.58 to 20.96)</w:t>
            </w:r>
          </w:p>
        </w:tc>
        <w:tc>
          <w:tcPr/>
          <w:p>
            <w:pPr>
              <w:pStyle w:val="Compact"/>
            </w:pPr>
            <w:r>
              <w:t xml:space="preserve">1.97 (1.09 to 3.01)</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(28.00 to 93.95)</w:t>
            </w:r>
          </w:p>
        </w:tc>
        <w:tc>
          <w:tcPr/>
          <w:p>
            <w:pPr>
              <w:pStyle w:val="Compact"/>
            </w:pPr>
            <w:r>
              <w:t xml:space="preserve">8.70 (6.76 to 10.85)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(4.74 to 10.61)</w:t>
            </w:r>
          </w:p>
        </w:tc>
        <w:tc>
          <w:tcPr/>
          <w:p>
            <w:pPr>
              <w:pStyle w:val="Compact"/>
            </w:pPr>
            <w:r>
              <w:t xml:space="preserve">1.84 (1.43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(8.71 to 30.17)</w:t>
            </w:r>
          </w:p>
        </w:tc>
        <w:tc>
          <w:tcPr/>
          <w:p>
            <w:pPr>
              <w:pStyle w:val="Compact"/>
            </w:pPr>
            <w:r>
              <w:t xml:space="preserve">2.70 (2.22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0.63)</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(0.39 to 2.10)</w:t>
            </w:r>
          </w:p>
        </w:tc>
        <w:tc>
          <w:tcPr/>
          <w:p>
            <w:pPr>
              <w:pStyle w:val="Compact"/>
            </w:pPr>
            <w:r>
              <w:t xml:space="preserve">3.74 (3.15 to 4.35)</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(6.98 to 81.66)</w:t>
            </w:r>
          </w:p>
        </w:tc>
        <w:tc>
          <w:tcPr/>
          <w:p>
            <w:pPr>
              <w:pStyle w:val="Compact"/>
            </w:pPr>
            <w:r>
              <w:t xml:space="preserve">7.33 (5.40 to 9.70)</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0.70)</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(5.35 to 7.44)</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(22.03 to 63.04)</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(0.52 to 1.21)</w:t>
            </w:r>
          </w:p>
        </w:tc>
        <w:tc>
          <w:tcPr/>
          <w:p>
            <w:pPr>
              <w:pStyle w:val="Compact"/>
            </w:pPr>
            <w:r>
              <w:t xml:space="preserve">1.37 (1.16 to 1.59)</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88.92)</w:t>
            </w:r>
          </w:p>
        </w:tc>
        <w:tc>
          <w:tcPr/>
          <w:p>
            <w:pPr>
              <w:pStyle w:val="Compact"/>
            </w:pPr>
            <w:r>
              <w:t xml:space="preserve">2.06 (1.70 to 2.51)</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977.5</w:t>
            </w:r>
          </w:p>
        </w:tc>
        <w:tc>
          <w:tcPr/>
          <w:p>
            <w:pPr>
              <w:pStyle w:val="Compact"/>
            </w:pPr>
            <w:r>
              <w:t xml:space="preserve">19.7</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11.6</w:t>
            </w:r>
          </w:p>
        </w:tc>
      </w:tr>
      <w:tr>
        <w:tc>
          <w:tcPr/>
          <w:p>
            <w:pPr>
              <w:pStyle w:val="Compact"/>
            </w:pPr>
            <w:r>
              <w:t xml:space="preserve">smooth</w:t>
            </w:r>
          </w:p>
        </w:tc>
        <w:tc>
          <w:tcPr/>
          <w:p>
            <w:pPr>
              <w:pStyle w:val="Compact"/>
            </w:pPr>
            <w:r>
              <w:t xml:space="preserve">990.2</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0.736</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1.043</w:t>
            </w:r>
          </w:p>
        </w:tc>
        <w:tc>
          <w:tcPr/>
          <w:p>
            <w:pPr>
              <w:pStyle w:val="Compact"/>
            </w:pPr>
            <w:r>
              <w:t xml:space="preserve">0.161</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-0.082</w:t>
            </w:r>
          </w:p>
        </w:tc>
        <w:tc>
          <w:tcPr/>
          <w:p>
            <w:pPr>
              <w:pStyle w:val="Compact"/>
            </w:pPr>
            <w:r>
              <w:t xml:space="preserve">0.127</w:t>
            </w:r>
          </w:p>
        </w:tc>
        <w:tc>
          <w:tcPr/>
          <w:p>
            <w:pPr>
              <w:pStyle w:val="Compact"/>
            </w:pPr>
            <w:r>
              <w:t xml:space="preserve">0.521</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0.935</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-1.444</w:t>
            </w:r>
          </w:p>
        </w:tc>
        <w:tc>
          <w:tcPr/>
          <w:p>
            <w:pPr>
              <w:pStyle w:val="Compact"/>
            </w:pPr>
            <w:r>
              <w:t xml:space="preserve">0.149</w:t>
            </w:r>
          </w:p>
        </w:tc>
      </w:tr>
      <w:tr>
        <w:tc>
          <w:tcPr/>
          <w:p>
            <w:pPr>
              <w:pStyle w:val="Compact"/>
            </w:pPr>
            <w:r>
              <w:t xml:space="preserve">spCOER</w:t>
            </w:r>
          </w:p>
        </w:tc>
        <w:tc>
          <w:tcPr/>
          <w:p>
            <w:pPr>
              <w:pStyle w:val="Compact"/>
            </w:pPr>
            <w:r>
              <w:t xml:space="preserve">-0.559</w:t>
            </w:r>
          </w:p>
        </w:tc>
        <w:tc>
          <w:tcPr/>
          <w:p>
            <w:pPr>
              <w:pStyle w:val="Compact"/>
            </w:pPr>
            <w:r>
              <w:t xml:space="preserve">0.257</w:t>
            </w:r>
          </w:p>
        </w:tc>
        <w:tc>
          <w:tcPr/>
          <w:p>
            <w:pPr>
              <w:pStyle w:val="Compact"/>
            </w:pPr>
            <w:r>
              <w:t xml:space="preserve">-2.178</w:t>
            </w:r>
          </w:p>
        </w:tc>
        <w:tc>
          <w:tcPr/>
          <w:p>
            <w:pPr>
              <w:pStyle w:val="Compact"/>
            </w:pPr>
            <w:r>
              <w:t xml:space="preserve">0.029</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-1.613</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70.17</w:t>
            </w:r>
          </w:p>
        </w:tc>
        <w:tc>
          <w:tcPr/>
          <w:p>
            <w:pPr>
              <w:pStyle w:val="Compact"/>
            </w:pPr>
            <w:r>
              <w:t xml:space="preserve">0.26</w:t>
            </w:r>
          </w:p>
        </w:tc>
        <w:tc>
          <w:tcPr/>
          <w:p>
            <w:pPr>
              <w:pStyle w:val="Compact"/>
            </w:pPr>
            <w:r>
              <w:t xml:space="preserve">70.77</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0.03</w:t>
            </w:r>
          </w:p>
        </w:tc>
        <w:tc>
          <w:tcPr/>
          <w:p>
            <w:pPr>
              <w:pStyle w:val="Compact"/>
            </w:pPr>
            <w:r>
              <w:t xml:space="preserve">8.24</w:t>
            </w:r>
          </w:p>
        </w:tc>
        <w:tc>
          <w:tcPr/>
          <w:p>
            <w:pPr>
              <w:pStyle w:val="Compact"/>
            </w:pPr>
            <w:r>
              <w:t xml:space="preserve">5.91</w:t>
            </w:r>
          </w:p>
        </w:tc>
        <w:tc>
          <w:tcPr/>
          <w:p>
            <w:pPr>
              <w:pStyle w:val="Compact"/>
            </w:pPr>
            <w:r>
              <w:t xml:space="preserve">-0.01</w:t>
            </w:r>
          </w:p>
        </w:tc>
        <w:tc>
          <w:tcPr/>
          <w:p>
            <w:pPr>
              <w:pStyle w:val="Compact"/>
            </w:pPr>
            <w:r>
              <w:t xml:space="preserve">14.32</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28.77</w:t>
            </w:r>
          </w:p>
        </w:tc>
        <w:tc>
          <w:tcPr/>
          <w:p>
            <w:pPr>
              <w:pStyle w:val="Compact"/>
            </w:pPr>
            <w:r>
              <w:t xml:space="preserve">0.00</w:t>
            </w:r>
          </w:p>
        </w:tc>
        <w:tc>
          <w:tcPr/>
          <w:p>
            <w:pPr>
              <w:pStyle w:val="Compact"/>
            </w:pPr>
            <w:r>
              <w:t xml:space="preserve">28.93</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8.17</w:t>
            </w:r>
          </w:p>
        </w:tc>
        <w:tc>
          <w:tcPr/>
          <w:p>
            <w:pPr>
              <w:pStyle w:val="Compact"/>
            </w:pPr>
            <w:r>
              <w:t xml:space="preserve">-0.02</w:t>
            </w:r>
          </w:p>
        </w:tc>
        <w:tc>
          <w:tcPr/>
          <w:p>
            <w:pPr>
              <w:pStyle w:val="Compact"/>
            </w:pPr>
            <w:r>
              <w:t xml:space="preserve">16.34</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0.63</w:t>
            </w:r>
          </w:p>
        </w:tc>
        <w:tc>
          <w:tcPr/>
          <w:p>
            <w:pPr>
              <w:pStyle w:val="Compact"/>
            </w:pPr>
            <w:r>
              <w:t xml:space="preserve">0.10</w:t>
            </w:r>
          </w:p>
        </w:tc>
        <w:tc>
          <w:tcPr/>
          <w:p>
            <w:pPr>
              <w:pStyle w:val="Compact"/>
            </w:pPr>
            <w:r>
              <w:t xml:space="preserve">1.63</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0.40</w:t>
            </w:r>
          </w:p>
        </w:tc>
        <w:tc>
          <w:tcPr/>
          <w:p>
            <w:pPr>
              <w:pStyle w:val="Compact"/>
            </w:pPr>
            <w:r>
              <w:t xml:space="preserve">0.28</w:t>
            </w:r>
          </w:p>
        </w:tc>
        <w:tc>
          <w:tcPr/>
          <w:p>
            <w:pPr>
              <w:pStyle w:val="Compact"/>
            </w:pPr>
            <w:r>
              <w:t xml:space="preserve">0.29</w:t>
            </w:r>
          </w:p>
        </w:tc>
        <w:tc>
          <w:tcPr/>
          <w:p>
            <w:pPr>
              <w:pStyle w:val="Compact"/>
            </w:pPr>
            <w:r>
              <w:t xml:space="preserve">0.04</w:t>
            </w:r>
          </w:p>
        </w:tc>
        <w:tc>
          <w:tcPr/>
          <w:p>
            <w:pPr>
              <w:pStyle w:val="Compact"/>
            </w:pPr>
            <w:r>
              <w:t xml:space="preserve">1.06</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5.79</w:t>
            </w:r>
          </w:p>
        </w:tc>
        <w:tc>
          <w:tcPr/>
          <w:p>
            <w:pPr>
              <w:pStyle w:val="Compact"/>
            </w:pPr>
            <w:r>
              <w:t xml:space="preserve">0.70</w:t>
            </w:r>
          </w:p>
        </w:tc>
        <w:tc>
          <w:tcPr/>
          <w:p>
            <w:pPr>
              <w:pStyle w:val="Compact"/>
            </w:pPr>
            <w:r>
              <w:t xml:space="preserve">0.08</w:t>
            </w:r>
          </w:p>
        </w:tc>
        <w:tc>
          <w:tcPr/>
          <w:p>
            <w:pPr>
              <w:pStyle w:val="Compact"/>
            </w:pPr>
            <w:r>
              <w:t xml:space="preserve">10.43</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3.52</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0.36</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0.62</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5.29</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0.33</w:t>
            </w:r>
          </w:p>
        </w:tc>
        <w:tc>
          <w:tcPr/>
          <w:p>
            <w:pPr>
              <w:pStyle w:val="Compact"/>
            </w:pPr>
            <w:r>
              <w:t xml:space="preserve">0.51</w:t>
            </w:r>
          </w:p>
        </w:tc>
        <w:tc>
          <w:tcPr/>
          <w:p>
            <w:pPr>
              <w:pStyle w:val="Compact"/>
            </w:pPr>
            <w:r>
              <w:t xml:space="preserve">2.00</w:t>
            </w:r>
          </w:p>
        </w:tc>
        <w:tc>
          <w:tcPr/>
          <w:p>
            <w:pPr>
              <w:pStyle w:val="Compact"/>
            </w:pPr>
            <w:r>
              <w:t xml:space="preserve">4.57</w:t>
            </w:r>
          </w:p>
        </w:tc>
        <w:tc>
          <w:tcPr/>
          <w:p>
            <w:pPr>
              <w:pStyle w:val="Compact"/>
            </w:pPr>
            <w:r>
              <w:t xml:space="preserve">7.12</w:t>
            </w:r>
          </w:p>
        </w:tc>
        <w:tc>
          <w:tcPr/>
          <w:p>
            <w:pPr>
              <w:pStyle w:val="Compact"/>
            </w:pPr>
            <w:r>
              <w:t xml:space="preserve">-2.55</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0.44</w:t>
            </w:r>
          </w:p>
        </w:tc>
        <w:tc>
          <w:tcPr/>
          <w:p>
            <w:pPr>
              <w:pStyle w:val="Compact"/>
            </w:pPr>
            <w:r>
              <w:t xml:space="preserve">0.34</w:t>
            </w:r>
          </w:p>
        </w:tc>
        <w:tc>
          <w:tcPr/>
          <w:p>
            <w:pPr>
              <w:pStyle w:val="Compact"/>
            </w:pPr>
            <w:r>
              <w:t xml:space="preserve">2.00</w:t>
            </w:r>
          </w:p>
        </w:tc>
        <w:tc>
          <w:tcPr/>
          <w:p>
            <w:pPr>
              <w:pStyle w:val="Compact"/>
            </w:pPr>
            <w:r>
              <w:t xml:space="preserve">5.17</w:t>
            </w:r>
          </w:p>
        </w:tc>
        <w:tc>
          <w:tcPr/>
          <w:p>
            <w:pPr>
              <w:pStyle w:val="Compact"/>
            </w:pPr>
            <w:r>
              <w:t xml:space="preserve">7.12</w:t>
            </w:r>
          </w:p>
        </w:tc>
        <w:tc>
          <w:tcPr/>
          <w:p>
            <w:pPr>
              <w:pStyle w:val="Compact"/>
            </w:pPr>
            <w:r>
              <w:t xml:space="preserve">-1.94</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50.73 (25.74 to 86.19)</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20.79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(0.31 to 1.17)</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(0.88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0.74 (0.28 to 3.90)</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15.56 (0.87 to 43.55)</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15.94 (7.93 to 28.71)</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0.69 (0.26 to 3.64)</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0.84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5.30 (4.13 to 6.59)</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7.27 (5.91 to 8.87)</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1.23 (0.40 to 2.70)</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(0.11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0.70 (0.09 to 1.63)</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3.55 (2.23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0.62)</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1.52</w:t>
            </w:r>
          </w:p>
        </w:tc>
        <w:tc>
          <w:tcPr/>
          <w:p>
            <w:pPr>
              <w:pStyle w:val="Compact"/>
            </w:pPr>
            <w:r>
              <w:t xml:space="preserve">-3 717</w:t>
            </w:r>
          </w:p>
        </w:tc>
        <w:tc>
          <w:tcPr/>
          <w:p>
            <w:pPr>
              <w:pStyle w:val="Compact"/>
            </w:pPr>
            <w:r>
              <w:t xml:space="preserve">-3 593</w:t>
            </w:r>
          </w:p>
        </w:tc>
        <w:tc>
          <w:tcPr/>
          <w:p>
            <w:pPr>
              <w:pStyle w:val="Compact"/>
            </w:pPr>
            <w:r>
              <w:t xml:space="preserve">-5 183 to -1 854</w:t>
            </w:r>
          </w:p>
        </w:tc>
        <w:tc>
          <w:tcPr/>
          <w:p>
            <w:pPr>
              <w:pStyle w:val="Compact"/>
            </w:pPr>
            <w:r>
              <w:t xml:space="preserve">-3 674</w:t>
            </w:r>
          </w:p>
        </w:tc>
        <w:tc>
          <w:tcPr/>
          <w:p>
            <w:pPr>
              <w:pStyle w:val="Compact"/>
            </w:pPr>
            <w:r>
              <w:t xml:space="preserve">-5 262 to -1 953</w:t>
            </w:r>
          </w:p>
        </w:tc>
        <w:tc>
          <w:tcPr/>
          <w:p>
            <w:pPr>
              <w:pStyle w:val="Compact"/>
            </w:pPr>
            <w:r>
              <w:t xml:space="preserve">-3 705</w:t>
            </w:r>
          </w:p>
        </w:tc>
        <w:tc>
          <w:tcPr/>
          <w:p>
            <w:pPr>
              <w:pStyle w:val="Compact"/>
            </w:pPr>
            <w:r>
              <w:t xml:space="preserve">3.2%</w:t>
            </w:r>
          </w:p>
        </w:tc>
      </w:tr>
      <w:tr>
        <w:tc>
          <w:tcPr/>
          <w:p>
            <w:pPr>
              <w:pStyle w:val="Compact"/>
            </w:pPr>
            <w:r>
              <w:t xml:space="preserve">ghost</w:t>
            </w:r>
          </w:p>
        </w:tc>
        <w:tc>
          <w:tcPr/>
          <w:p>
            <w:pPr>
              <w:pStyle w:val="Compact"/>
            </w:pPr>
            <w:r>
              <w:t xml:space="preserve">11.90</w:t>
            </w:r>
          </w:p>
        </w:tc>
        <w:tc>
          <w:tcPr/>
          <w:p>
            <w:pPr>
              <w:pStyle w:val="Compact"/>
            </w:pPr>
            <w:r>
              <w:t xml:space="preserve">1 810</w:t>
            </w:r>
          </w:p>
        </w:tc>
        <w:tc>
          <w:tcPr/>
          <w:p>
            <w:pPr>
              <w:pStyle w:val="Compact"/>
            </w:pPr>
            <w:r>
              <w:t xml:space="preserve">2 776</w:t>
            </w:r>
          </w:p>
        </w:tc>
        <w:tc>
          <w:tcPr/>
          <w:p>
            <w:pPr>
              <w:pStyle w:val="Compact"/>
            </w:pPr>
            <w:r>
              <w:t xml:space="preserve">1 931 to 3 977</w:t>
            </w:r>
          </w:p>
        </w:tc>
        <w:tc>
          <w:tcPr/>
          <w:p>
            <w:pPr>
              <w:pStyle w:val="Compact"/>
            </w:pPr>
            <w:r>
              <w:t xml:space="preserve">2 142</w:t>
            </w:r>
          </w:p>
        </w:tc>
        <w:tc>
          <w:tcPr/>
          <w:p>
            <w:pPr>
              <w:pStyle w:val="Compact"/>
            </w:pPr>
            <w:r>
              <w:t xml:space="preserve">1 505 to 3 266</w:t>
            </w:r>
          </w:p>
        </w:tc>
        <w:tc>
          <w:tcPr/>
          <w:p>
            <w:pPr>
              <w:pStyle w:val="Compact"/>
            </w:pPr>
            <w:r>
              <w:t xml:space="preserve">3 133</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2,776 [2,142]</w:t>
            </w:r>
          </w:p>
        </w:tc>
        <w:tc>
          <w:tcPr/>
          <w:p>
            <w:pPr>
              <w:pStyle w:val="Compact"/>
            </w:pPr>
            <w:r>
              <w:t xml:space="preserve">6,411 [5,856]</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6,912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3,183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2,776 [2,142]</w:t>
            </w:r>
          </w:p>
        </w:tc>
        <w:tc>
          <w:tcPr/>
          <w:p>
            <w:pPr>
              <w:pStyle w:val="Compact"/>
            </w:pPr>
            <w:r>
              <w:t xml:space="preserve">6,037 [5,509]</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2,776 [2,142]</w:t>
            </w:r>
          </w:p>
        </w:tc>
        <w:tc>
          <w:tcPr/>
          <w:p>
            <w:pPr>
              <w:pStyle w:val="Compact"/>
            </w:pPr>
            <w:r>
              <w:t xml:space="preserve">7,090 [6,505]</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2,776 [2,142]</w:t>
            </w:r>
          </w:p>
        </w:tc>
        <w:tc>
          <w:tcPr/>
          <w:p>
            <w:pPr>
              <w:pStyle w:val="Compact"/>
            </w:pPr>
            <w:r>
              <w:t xml:space="preserve">6,179 [5,648]</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2,776 [2,142]</w:t>
            </w:r>
          </w:p>
        </w:tc>
        <w:tc>
          <w:tcPr/>
          <w:p>
            <w:pPr>
              <w:pStyle w:val="Compact"/>
            </w:pPr>
            <w:r>
              <w:t xml:space="preserve">6,239 [5,693]</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2,776 [2,142]</w:t>
            </w:r>
          </w:p>
        </w:tc>
        <w:tc>
          <w:tcPr/>
          <w:p>
            <w:pPr>
              <w:pStyle w:val="Compact"/>
            </w:pPr>
            <w:r>
              <w:t xml:space="preserve">6,569 [6,006]</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2,776 [2,142]</w:t>
            </w:r>
          </w:p>
        </w:tc>
        <w:tc>
          <w:tcPr/>
          <w:p>
            <w:pPr>
              <w:pStyle w:val="Compact"/>
            </w:pPr>
            <w:r>
              <w:t xml:space="preserve">5,830 [5,311]</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−3,642 [−3,717]</w:t>
            </w:r>
          </w:p>
        </w:tc>
        <w:tc>
          <w:tcPr/>
          <w:p>
            <w:pPr>
              <w:pStyle w:val="Compact"/>
            </w:pPr>
            <w:r>
              <w:t xml:space="preserve">2,776 [2,142]</w:t>
            </w:r>
          </w:p>
        </w:tc>
        <w:tc>
          <w:tcPr/>
          <w:p>
            <w:pPr>
              <w:pStyle w:val="Compact"/>
            </w:pPr>
            <w:r>
              <w:t xml:space="preserve">6,418 [5,859]</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−3,618 [−3,709]</w:t>
            </w:r>
          </w:p>
        </w:tc>
        <w:tc>
          <w:tcPr/>
          <w:p>
            <w:pPr>
              <w:pStyle w:val="Compact"/>
            </w:pPr>
            <w:r>
              <w:t xml:space="preserve">2,776 [2,142]</w:t>
            </w:r>
          </w:p>
        </w:tc>
        <w:tc>
          <w:tcPr/>
          <w:p>
            <w:pPr>
              <w:pStyle w:val="Compact"/>
            </w:pPr>
            <w:r>
              <w:t xml:space="preserve">6,394 [5,850]</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−3,598 [−3,702]</w:t>
            </w:r>
          </w:p>
        </w:tc>
        <w:tc>
          <w:tcPr/>
          <w:p>
            <w:pPr>
              <w:pStyle w:val="Compact"/>
            </w:pPr>
            <w:r>
              <w:t xml:space="preserve">3,069 [2,243]</w:t>
            </w:r>
          </w:p>
        </w:tc>
        <w:tc>
          <w:tcPr/>
          <w:p>
            <w:pPr>
              <w:pStyle w:val="Compact"/>
            </w:pPr>
            <w:r>
              <w:t xml:space="preserve">6,668 [5,945]</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2,460 [1,899]</w:t>
            </w:r>
          </w:p>
        </w:tc>
        <w:tc>
          <w:tcPr/>
          <w:p>
            <w:pPr>
              <w:pStyle w:val="Compact"/>
            </w:pPr>
            <w:r>
              <w:t xml:space="preserve">6,095 [5,613]</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2,562 [1,977]</w:t>
            </w:r>
          </w:p>
        </w:tc>
        <w:tc>
          <w:tcPr/>
          <w:p>
            <w:pPr>
              <w:pStyle w:val="Compact"/>
            </w:pPr>
            <w:r>
              <w:t xml:space="preserve">6,197 [5,691]</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3,356 [2,699]</w:t>
            </w:r>
          </w:p>
        </w:tc>
        <w:tc>
          <w:tcPr/>
          <w:p>
            <w:pPr>
              <w:pStyle w:val="Compact"/>
            </w:pPr>
            <w:r>
              <w:t xml:space="preserve">6,991 [6,414]</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2,401 [1,830]</w:t>
            </w:r>
          </w:p>
        </w:tc>
        <w:tc>
          <w:tcPr/>
          <w:p>
            <w:pPr>
              <w:pStyle w:val="Compact"/>
            </w:pPr>
            <w:r>
              <w:t xml:space="preserve">6,036 [5,544]</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3,138 [2,457]</w:t>
            </w:r>
          </w:p>
        </w:tc>
        <w:tc>
          <w:tcPr/>
          <w:p>
            <w:pPr>
              <w:pStyle w:val="Compact"/>
            </w:pPr>
            <w:r>
              <w:t xml:space="preserve">6,773 [6,171]</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2,476 [1,946]</w:t>
            </w:r>
          </w:p>
        </w:tc>
        <w:tc>
          <w:tcPr/>
          <w:p>
            <w:pPr>
              <w:pStyle w:val="Compact"/>
            </w:pPr>
            <w:r>
              <w:t xml:space="preserve">6,111 [5,661]</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2,689 [2,111]</w:t>
            </w:r>
          </w:p>
        </w:tc>
        <w:tc>
          <w:tcPr/>
          <w:p>
            <w:pPr>
              <w:pStyle w:val="Compact"/>
            </w:pPr>
            <w:r>
              <w:t xml:space="preserve">6,325 [5,825]</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4,362 [3,633]</w:t>
            </w:r>
          </w:p>
        </w:tc>
        <w:tc>
          <w:tcPr/>
          <w:p>
            <w:pPr>
              <w:pStyle w:val="Compact"/>
            </w:pPr>
            <w:r>
              <w:t xml:space="preserve">7,997 [7,347]</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−1,204</w:t>
            </w:r>
          </w:p>
        </w:tc>
        <w:tc>
          <w:tcPr/>
          <w:p>
            <w:pPr>
              <w:pStyle w:val="Compact"/>
            </w:pPr>
            <w:r>
              <w:t xml:space="preserve">−4,288 [−4,368]</w:t>
            </w:r>
          </w:p>
        </w:tc>
        <w:tc>
          <w:tcPr/>
          <w:p>
            <w:pPr>
              <w:pStyle w:val="Compact"/>
            </w:pPr>
            <w:r>
              <w:t xml:space="preserve">2,776 [2,142]</w:t>
            </w:r>
          </w:p>
        </w:tc>
        <w:tc>
          <w:tcPr/>
          <w:p>
            <w:pPr>
              <w:pStyle w:val="Compact"/>
            </w:pPr>
            <w:r>
              <w:t xml:space="preserve">7,064 [6,509]</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−812</w:t>
            </w:r>
          </w:p>
        </w:tc>
        <w:tc>
          <w:tcPr/>
          <w:p>
            <w:pPr>
              <w:pStyle w:val="Compact"/>
            </w:pPr>
            <w:r>
              <w:t xml:space="preserve">−2,852 [−2,932]</w:t>
            </w:r>
          </w:p>
        </w:tc>
        <w:tc>
          <w:tcPr/>
          <w:p>
            <w:pPr>
              <w:pStyle w:val="Compact"/>
            </w:pPr>
            <w:r>
              <w:t xml:space="preserve">2,776 [2,142]</w:t>
            </w:r>
          </w:p>
        </w:tc>
        <w:tc>
          <w:tcPr/>
          <w:p>
            <w:pPr>
              <w:pStyle w:val="Compact"/>
            </w:pPr>
            <w:r>
              <w:t xml:space="preserve">5,628 [5,074]</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−2,711 [−2,815]</w:t>
            </w:r>
          </w:p>
        </w:tc>
        <w:tc>
          <w:tcPr/>
          <w:p>
            <w:pPr>
              <w:pStyle w:val="Compact"/>
            </w:pPr>
            <w:r>
              <w:t xml:space="preserve">2,776 [2,142]</w:t>
            </w:r>
          </w:p>
        </w:tc>
        <w:tc>
          <w:tcPr/>
          <w:p>
            <w:pPr>
              <w:pStyle w:val="Compact"/>
            </w:pPr>
            <w:r>
              <w:t xml:space="preserve">5,487 [4,957]</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−2,329 [−2,434]</w:t>
            </w:r>
          </w:p>
        </w:tc>
        <w:tc>
          <w:tcPr/>
          <w:p>
            <w:pPr>
              <w:pStyle w:val="Compact"/>
            </w:pPr>
            <w:r>
              <w:t xml:space="preserve">2,776 [2,142]</w:t>
            </w:r>
          </w:p>
        </w:tc>
        <w:tc>
          <w:tcPr/>
          <w:p>
            <w:pPr>
              <w:pStyle w:val="Compact"/>
            </w:pPr>
            <w:r>
              <w:t xml:space="preserve">5,105 [4,576]</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2,776 [2,142]</w:t>
            </w:r>
          </w:p>
        </w:tc>
        <w:tc>
          <w:tcPr/>
          <w:p>
            <w:pPr>
              <w:pStyle w:val="Compact"/>
            </w:pPr>
            <w:r>
              <w:t xml:space="preserve">3,586 [3,031]</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−5214 to −1918 [−5291 to −2012]</w:t>
            </w:r>
          </w:p>
        </w:tc>
        <w:tc>
          <w:tcPr/>
          <w:p>
            <w:pPr>
              <w:pStyle w:val="Compact"/>
            </w:pPr>
            <w:r>
              <w:t xml:space="preserve">1931 to 3977 [1505 to 3266]</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5.73 (2.78 to 8.29)</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55.63 (27.01 to 90.45)</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14.18 (3.37 to 32.02)</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56.85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(-0.06 to 6.25)</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14.13 (7.55 to 22.68)</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21.34 (8.94 to 38.90)</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30.78 (12.93 to 56.13)</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11.14 (5.94 to 18.72)</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10.65 (7.36 to 15.17)</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(2.10 to 3.04)</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0.93)</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1.05 (0.50 to 1.68)</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3.23 (1.27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(0.13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1.70)</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0.88)</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(0.67 to 25.00)</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11.81 (6.17 to 20.33)</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0.45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0.663 (0.394 to 0.953)</w:t>
            </w:r>
          </w:p>
        </w:tc>
        <w:tc>
          <w:tcPr/>
          <w:p>
            <w:pPr>
              <w:pStyle w:val="Compact"/>
            </w:pPr>
            <w:r>
              <w:t xml:space="preserve">0.605</w:t>
            </w:r>
          </w:p>
        </w:tc>
        <w:tc>
          <w:tcPr/>
          <w:p>
            <w:pPr>
              <w:pStyle w:val="Compact"/>
            </w:pPr>
            <w:r>
              <w:t xml:space="preserve">0.711</w:t>
            </w:r>
          </w:p>
        </w:tc>
        <w:tc>
          <w:tcPr/>
          <w:p>
            <w:pPr>
              <w:pStyle w:val="Compact"/>
            </w:pPr>
            <w:r>
              <w:t xml:space="preserve">1.079 (0.327 to 1.829)</w:t>
            </w:r>
          </w:p>
        </w:tc>
      </w:tr>
      <w:tr>
        <w:tc>
          <w:tcPr/>
          <w:p>
            <w:pPr>
              <w:pStyle w:val="Compact"/>
            </w:pPr>
            <w:r>
              <w:t xml:space="preserve">United States</w:t>
            </w:r>
          </w:p>
        </w:tc>
        <w:tc>
          <w:tcPr/>
          <w:p>
            <w:pPr>
              <w:pStyle w:val="Compact"/>
            </w:pPr>
            <w:r>
              <w:t xml:space="preserve">60.09</w:t>
            </w:r>
          </w:p>
        </w:tc>
        <w:tc>
          <w:tcPr/>
          <w:p>
            <w:pPr>
              <w:pStyle w:val="Compact"/>
            </w:pPr>
            <w:r>
              <w:t xml:space="preserve">0.383 (0.227 to 0.550)</w:t>
            </w:r>
          </w:p>
        </w:tc>
        <w:tc>
          <w:tcPr/>
          <w:p>
            <w:pPr>
              <w:pStyle w:val="Compact"/>
            </w:pPr>
            <w:r>
              <w:t xml:space="preserve">0.349</w:t>
            </w:r>
          </w:p>
        </w:tc>
        <w:tc>
          <w:tcPr/>
          <w:p>
            <w:pPr>
              <w:pStyle w:val="Compact"/>
            </w:pPr>
            <w:r>
              <w:t xml:space="preserve">0.411</w:t>
            </w:r>
          </w:p>
        </w:tc>
        <w:tc>
          <w:tcPr/>
          <w:p>
            <w:pPr>
              <w:pStyle w:val="Compact"/>
            </w:pPr>
            <w:r>
              <w:t xml:space="preserve">0.624 (0.189 to 1.056)</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0.095)</w:t>
            </w:r>
          </w:p>
        </w:tc>
      </w:tr>
      <w:tr>
        <w:tc>
          <w:tcPr/>
          <w:p>
            <w:pPr>
              <w:pStyle w:val="Compact"/>
            </w:pPr>
            <w:r>
              <w:t xml:space="preserve">Venezuela</w:t>
            </w:r>
          </w:p>
        </w:tc>
        <w:tc>
          <w:tcPr/>
          <w:p>
            <w:pPr>
              <w:pStyle w:val="Compact"/>
            </w:pPr>
            <w:r>
              <w:t xml:space="preserve">2.51</w:t>
            </w:r>
          </w:p>
        </w:tc>
        <w:tc>
          <w:tcPr/>
          <w:p>
            <w:pPr>
              <w:pStyle w:val="Compact"/>
            </w:pPr>
            <w:r>
              <w:t xml:space="preserve">0.016 (0.009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1.105 (0.656 to 1.589)</w:t>
            </w:r>
          </w:p>
        </w:tc>
        <w:tc>
          <w:tcPr/>
          <w:p>
            <w:pPr>
              <w:pStyle w:val="Compact"/>
            </w:pPr>
            <w:r>
              <w:t xml:space="preserve">1.009</w:t>
            </w:r>
          </w:p>
        </w:tc>
        <w:tc>
          <w:tcPr/>
          <w:p>
            <w:pPr>
              <w:pStyle w:val="Compact"/>
            </w:pPr>
            <w:r>
              <w:t xml:space="preserve">1.186</w:t>
            </w:r>
          </w:p>
        </w:tc>
        <w:tc>
          <w:tcPr/>
          <w:p>
            <w:pPr>
              <w:pStyle w:val="Compact"/>
            </w:pPr>
            <w:r>
              <w:t xml:space="preserve">1.800 (0.545 to 3.049)</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1.05 (0.62 to 1.51)</w:t>
            </w:r>
          </w:p>
        </w:tc>
        <w:tc>
          <w:tcPr/>
          <w:p>
            <w:pPr>
              <w:pStyle w:val="Compact"/>
            </w:pPr>
            <w:r>
              <w:t xml:space="preserve">0.96</w:t>
            </w:r>
          </w:p>
        </w:tc>
        <w:tc>
          <w:tcPr/>
          <w:p>
            <w:pPr>
              <w:pStyle w:val="Compact"/>
            </w:pPr>
            <w:r>
              <w:t xml:space="preserve">1.71 (0.52 to 2.90)</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1.35 (0.80 to 1.95)</w:t>
            </w:r>
          </w:p>
        </w:tc>
        <w:tc>
          <w:tcPr/>
          <w:p>
            <w:pPr>
              <w:pStyle w:val="Compact"/>
            </w:pPr>
            <w:r>
              <w:t xml:space="preserve">1.24</w:t>
            </w:r>
          </w:p>
        </w:tc>
        <w:tc>
          <w:tcPr/>
          <w:p>
            <w:pPr>
              <w:pStyle w:val="Compact"/>
            </w:pPr>
            <w:r>
              <w:t xml:space="preserve">2.21 (0.67 to 3.74)</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11"/>
    <w:bookmarkStart w:id="112"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Castañeda-Moya, E., Rivera-Monroy, V. &amp; Twilley, R. Mangrove forest growth from the Shark River Slough, Everglades National Park (FCE), South Florida, USA, January 1995 – ongoing. Environmental Data Initiative, knb-lter-fce.1113.7 (2024). https://doi.org/10.6073/pasta/45b440211d5756a157e72b1ee3a7a0ec</w:t>
            </w:r>
          </w:p>
        </w:tc>
        <w:tc>
          <w:tcPr/>
          <w:p>
            <w:pPr>
              <w:pStyle w:val="Compact"/>
            </w:pPr>
            <w:r>
              <w:t xml:space="preserve">Species composition, stem density and basal area at SRS5 and SRS6 (table S1)</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12"/>
    <w:bookmarkStart w:id="113"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A. V. Borges et al., Variability of the gas transfer velocity of CO2 in a macrotidal estuary (the Scheldt).</w:t>
      </w:r>
      <w:r>
        <w:t xml:space="preserve"> </w:t>
      </w:r>
      <w:r>
        <w:rPr>
          <w:i/>
          <w:iCs/>
        </w:rPr>
        <w:t xml:space="preserve">Estuaries</w:t>
      </w:r>
      <w:r>
        <w:t xml:space="preserve"> </w:t>
      </w:r>
      <w:r>
        <w:rPr>
          <w:b/>
          <w:bCs/>
        </w:rPr>
        <w:t xml:space="preserve">27</w:t>
      </w:r>
      <w:r>
        <w:t xml:space="preserve">, 593–603 (2004).</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J. J. Cole, N. F. Caraco, Atmospheric exchange of carbon dioxide in a low-wind oligotrophic lake measured by the addition of SF6.</w:t>
      </w:r>
      <w:r>
        <w:t xml:space="preserve"> </w:t>
      </w:r>
      <w:r>
        <w:rPr>
          <w:i/>
          <w:iCs/>
        </w:rPr>
        <w:t xml:space="preserve">Limnol. Oceanogr.</w:t>
      </w:r>
      <w:r>
        <w:t xml:space="preserve"> </w:t>
      </w:r>
      <w:r>
        <w:rPr>
          <w:b/>
          <w:bCs/>
        </w:rPr>
        <w:t xml:space="preserve">43</w:t>
      </w:r>
      <w:r>
        <w:t xml:space="preserve">, 647–656 (1998).</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D. T. Ho, S. Ferrón, V. C. Engel, L. G. Larsen, J. G. Barr, Air-water gas exchange and CO2 flux in a mangrove-dominated estuary.</w:t>
      </w:r>
      <w:r>
        <w:t xml:space="preserve"> </w:t>
      </w:r>
      <w:r>
        <w:rPr>
          <w:i/>
          <w:iCs/>
        </w:rPr>
        <w:t xml:space="preserve">Geophys. Res. Lett.</w:t>
      </w:r>
      <w:r>
        <w:t xml:space="preserve"> </w:t>
      </w:r>
      <w:r>
        <w:rPr>
          <w:b/>
          <w:bCs/>
        </w:rPr>
        <w:t xml:space="preserve">41</w:t>
      </w:r>
      <w:r>
        <w:t xml:space="preserve">, 108–113 (2014).</w:t>
      </w:r>
    </w:p>
    <w:p>
      <w:pPr>
        <w:pStyle w:val="Compact"/>
        <w:numPr>
          <w:ilvl w:val="0"/>
          <w:numId w:val="1009"/>
        </w:numPr>
      </w:pPr>
      <w:r>
        <w:t xml:space="preserve">D. T. Ho et al., Influence of current velocity and wind speed on air-water gas exchange in a mangrove estuary.</w:t>
      </w:r>
      <w:r>
        <w:t xml:space="preserve"> </w:t>
      </w:r>
      <w:r>
        <w:rPr>
          <w:i/>
          <w:iCs/>
        </w:rPr>
        <w:t xml:space="preserve">Geophys. Res. Lett.</w:t>
      </w:r>
      <w:r>
        <w:t xml:space="preserve"> </w:t>
      </w:r>
      <w:r>
        <w:rPr>
          <w:b/>
          <w:bCs/>
        </w:rPr>
        <w:t xml:space="preserve">43</w:t>
      </w:r>
      <w:r>
        <w:t xml:space="preserve">, 3813–3821 (2016).</w:t>
      </w:r>
    </w:p>
    <w:p>
      <w:pPr>
        <w:pStyle w:val="Compact"/>
        <w:numPr>
          <w:ilvl w:val="0"/>
          <w:numId w:val="1009"/>
        </w:numPr>
      </w:pPr>
      <w:r>
        <w:t xml:space="preserve">D. T. Ho et al., On factors influencing air-water gas exchange in emergent wetlands.</w:t>
      </w:r>
      <w:r>
        <w:t xml:space="preserve"> </w:t>
      </w:r>
      <w:r>
        <w:rPr>
          <w:i/>
          <w:iCs/>
        </w:rPr>
        <w:t xml:space="preserve">J. Geophys. Res. Biogeosci.</w:t>
      </w:r>
      <w:r>
        <w:t xml:space="preserve"> </w:t>
      </w:r>
      <w:r>
        <w:rPr>
          <w:b/>
          <w:bCs/>
        </w:rPr>
        <w:t xml:space="preserve">123</w:t>
      </w:r>
      <w:r>
        <w:t xml:space="preserve">, 178–192 (2018).</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P. A. Raymond, J. J. Cole, Gas exchange in rivers and estuaries: choosing a gas transfer velocity.</w:t>
      </w:r>
      <w:r>
        <w:t xml:space="preserve"> </w:t>
      </w:r>
      <w:r>
        <w:rPr>
          <w:i/>
          <w:iCs/>
        </w:rPr>
        <w:t xml:space="preserve">Estuaries</w:t>
      </w:r>
      <w:r>
        <w:t xml:space="preserve"> </w:t>
      </w:r>
      <w:r>
        <w:rPr>
          <w:b/>
          <w:bCs/>
        </w:rPr>
        <w:t xml:space="preserve">24</w:t>
      </w:r>
      <w:r>
        <w:t xml:space="preserve">, 312–317 (2001).</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Rosentreter et al., Spatial and temporal variability of CO2 and CH4 gas transfer velocities and quantification of the CH4 microbubble flux in mangrove dominated estuaries.</w:t>
      </w:r>
      <w:r>
        <w:t xml:space="preserve"> </w:t>
      </w:r>
      <w:r>
        <w:rPr>
          <w:i/>
          <w:iCs/>
        </w:rPr>
        <w:t xml:space="preserve">Limnol. Oceanogr.</w:t>
      </w:r>
      <w:r>
        <w:t xml:space="preserve"> </w:t>
      </w:r>
      <w:r>
        <w:rPr>
          <w:b/>
          <w:bCs/>
        </w:rPr>
        <w:t xml:space="preserve">62</w:t>
      </w:r>
      <w:r>
        <w:t xml:space="preserve">, 561–578 (2017).</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Y. Y. Y. Yau et al., Efficient oxidation attenuates porewater-derived methane fluxes in mangrove waters.</w:t>
      </w:r>
      <w:r>
        <w:t xml:space="preserve"> </w:t>
      </w:r>
      <w:r>
        <w:rPr>
          <w:i/>
          <w:iCs/>
        </w:rPr>
        <w:t xml:space="preserve">Limnol. Oceanogr.</w:t>
      </w:r>
      <w:r>
        <w:t xml:space="preserve"> </w:t>
      </w:r>
      <w:r>
        <w:rPr>
          <w:b/>
          <w:bCs/>
        </w:rPr>
        <w:t xml:space="preserve">69</w:t>
      </w:r>
      <w:r>
        <w:t xml:space="preserve">, 1997–2014 (2024).</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62" Target="media/rId62.png" /><Relationship Type="http://schemas.openxmlformats.org/officeDocument/2006/relationships/image" Id="rId71" Target="media/rId71.png" /><Relationship Type="http://schemas.openxmlformats.org/officeDocument/2006/relationships/image" Id="rId56" Target="media/rId56.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92" Target="media/rId92.png" /><Relationship Type="http://schemas.openxmlformats.org/officeDocument/2006/relationships/image" Id="rId107" Target="media/rId107.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74" Target="media/rId74.png"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2026-10-04T09:08:45Z</dcterms:created>
  <dcterms:modified xsi:type="dcterms:W3CDTF">2026-10-04T09:08:45Z</dcterms:modified>
</cp:coreProperties>
</file>

<file path=docProps/custom.xml><?xml version="1.0" encoding="utf-8"?>
<Properties xmlns="http://schemas.openxmlformats.org/officeDocument/2006/custom-properties" xmlns:vt="http://schemas.openxmlformats.org/officeDocument/2006/docPropsVTypes"/>
</file>