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89.png" ContentType="image/png"/>
  <Override PartName="/word/media/rId47.png" ContentType="image/png"/>
  <Override PartName="/word/media/rId59.png" ContentType="image/png"/>
  <Override PartName="/word/media/rId62.png" ContentType="image/png"/>
  <Override PartName="/word/media/rId56.png" ContentType="image/png"/>
  <Override PartName="/word/media/rId65.png" ContentType="image/png"/>
  <Override PartName="/word/media/rId50.png" ContentType="image/png"/>
  <Override PartName="/word/media/rId86.png" ContentType="image/png"/>
  <Override PartName="/word/media/rId92.png" ContentType="image/png"/>
  <Override PartName="/word/media/rId95.png" ContentType="image/png"/>
  <Override PartName="/word/media/rId77.png" ContentType="image/png"/>
  <Override PartName="/word/media/rId83.png" ContentType="image/png"/>
  <Override PartName="/word/media/rId74.png" ContentType="image/png"/>
  <Override PartName="/word/media/rId80.png" ContentType="image/png"/>
  <Override PartName="/word/media/rId68.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Figs. S1 to S17; Tables S1 to S15;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S1).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 Against the long-term records (fig. S16), October 2022 was unusually wet (SRS6 water level above the typical October range) with tower CH4 near its seasonal maximum, whereas March 2023 had tower CH4 below the typical March range and high midday CO2 uptake; the two campaigns therefore bracket the seasonal range of CH4 rather than sample its mean, and the warmest months (July–September) were not sampled.</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S1).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S2: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S3). No flux was removed for being small, negative or below detection. Summary statistics of component rates (table S4;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S4). The detector misses gradual releases and steps in the last seconds of a placement, so for LGR placements the excess of a single fit over the whole placement above diffusive plus detected ebullitive flux was taken as an upper bound on undetected ebullition; with it, the ebullitive share rises to at most 17% overall and to 2–12% (from 0–2%) in the dry-season ghost water (fig. S4).</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surface-water samples at the plot (SRS5) and a BlueFlux aquatic-transect station (SRS6). The gas-transfer velocity k600 was calibrated on the plot × campaign pairs that had both chamber water flux and dissolved CH4 (median of 7 retained pairs, 1.10 cm h−1; range 0.56–7.07, used as the uncertainty range; one pair with k600 &gt;50 cm h−1 was rejected).</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S13) weights a high-tide state (flooded floor: water-surface flux, no soil or downed-wood flux) and a low-tide state (exposed floor). Alternatives (an all-or-nothing switch, the 2010–2023 hydrology, an equal split, and the floor mean ±1.96 SE) are compared in table S10; fig. S11 draws the campaign water levels against the woody surfaces of each scanned site. The ghost sites are not tidal: they were fully flooded in October 2022 (all depth readings 2–31 cm), and in March 2023 the share of our readings at stem, root and downed-wood positions without standing water (6 of 31 at CP40; 9 of 48 at FLM30) was budgeted as exposed soil.</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S5).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S8).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Because regenerating forest was not separable in the footprints, the comparison used two end-members (intact and ghost), and the March 2023 value is the mean of the February and April 2023 deployments (variances combined; table S6).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for dissolved CH4 (headspace equilibration and gas chromatography) and salinity</w:t>
      </w:r>
      <w:r>
        <w:t xml:space="preserve"> </w:t>
      </w:r>
      <w:r>
        <w:rPr>
          <w:i/>
          <w:iCs/>
        </w:rPr>
        <w:t xml:space="preserve">[CHECK: sampler and GC protocol]</w:t>
      </w:r>
      <w:r>
        <w:t xml:space="preserve">. In October 2025, depth profiles (surface water and 0, 15, 45 and 90 cm) were collected at SRS5, SRS6, BL60 and CP40 with MHE PushPoint samplers. Temperature, pH, conductivity, dissolved oxygen and redox potential were measured in the field (Hanna HI98494; dissolved oxygen corrected by −1.67 mg L−1 for a sensor offset); total dissolved sulfide (methylene blue) and total dissolved iron (FerroVer) colorimetrically in the field (Hach DR900). Dissolved CH4 and CO2 and their δ13C were measured by headspace equilibration on a Picarro G2201-i with SAM autosampler at Yale;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Intact-site ammonium was compared with FCE LTER porewater monitoring at SRS5 and SRS6 (data S2; table S11). The principal-components analysis used October 2025 profiles (0–90 cm): numeric variables with ≤20% missing values, excluding coordinates, depth, conductivity and total dissolved solids (redundant with salinity), temperature, percent oxygen saturation, bromide and fluoride, dissolved CO2 and standard deviations; complete cases (16 of 20); centred and scaled. The salinity–CH4 relationship used site × round × depth means from all three rounds (Pearson correlation of salinity with log(1 + CH4) within each class).</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S10),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S11).</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S14). For the map (Fig. 5D),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S5). Profiles are shown for live, flooded stems in the wet season, excluding random effects, back-transformed with sinh. Adding species changed little (table S5).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estimated marginal means by species and status are shown in fig. S6, C and D.</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available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S9 lists every literature-derived value, its source, how it was converted and used, and the alternatives considered; table S15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S10).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stem-height-extrapolation"/>
    <w:p>
      <w:pPr>
        <w:pStyle w:val="Heading2"/>
      </w:pPr>
      <w:r>
        <w:t xml:space="preserve">Text S1.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S7).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34"/>
    <w:bookmarkStart w:id="35" w:name="text-s2.-tide-and-inundation"/>
    <w:p>
      <w:pPr>
        <w:pStyle w:val="Heading2"/>
      </w:pPr>
      <w:r>
        <w:t xml:space="preserve">Text S2.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S13); stand CH4 in each tide state is shown in fig. S9 and the derivation of the flooded share in fig. S10.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+2,776 in the central case, and +2,460 to +4,362 across the options; ghost CH4 ranges 9.9–13.7 g m−2 yr−1 (table S10). An airborne check by campaign (table S6) favours the flooded representation in October 2022 and March 2023.</w:t>
      </w:r>
    </w:p>
    <w:bookmarkEnd w:id="35"/>
    <w:bookmarkStart w:id="36" w:name="text-s3.-downed-wood"/>
    <w:p>
      <w:pPr>
        <w:pStyle w:val="Heading2"/>
      </w:pPr>
      <w:r>
        <w:t xml:space="preserve">Text S3.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−1,150 to −770 g C m−2 yr−1 and the ghost class remains a source (table S10).</w:t>
      </w:r>
    </w:p>
    <w:bookmarkEnd w:id="36"/>
    <w:bookmarkStart w:id="37" w:name="text-s4.-monte-carlo-uncertainty"/>
    <w:p>
      <w:pPr>
        <w:pStyle w:val="Heading2"/>
      </w:pPr>
      <w:r>
        <w:t xml:space="preserve">Text S4. Monte Carlo uncertainty</w:t>
      </w:r>
    </w:p>
    <w:p>
      <w:pPr>
        <w:pStyle w:val="FirstParagraph"/>
      </w:pPr>
      <w:r>
        <w:t xml:space="preserve">For the CH4 budget, ghost-class uncertainty is dominated by water-surface flux in the wet season and by exposed-soil flux in the dry season (91–100% of the variance). In intact forest the leading term varies by site and campaign among water, prop roots and soil; stems contribute ≤1% everywhere (fig. S13). For net forcing, canopy leaf respiration (Rd25 and LAI) and tower GPP dominate the intact interval and the CH4 budget dominates the ghost interval. The intervals of the two states do not overlap: intact −5,214 to −1,918 and ghost +1,931 to +3,977 g CO2-eq m−2 yr−1 at GWP20 (−5,291 to −2,012 and +1,505 to +3,266 at GWP100). Structural choices outside the Monte Carlo are compared one at a time in text S9.</w:t>
      </w:r>
    </w:p>
    <w:bookmarkEnd w:id="37"/>
    <w:bookmarkStart w:id="38" w:name="text-s5.-co2-closure-caveats"/>
    <w:p>
      <w:pPr>
        <w:pStyle w:val="Heading2"/>
      </w:pPr>
      <w:r>
        <w:t xml:space="preserve">Text S5.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bookmarkEnd w:id="38"/>
    <w:bookmarkStart w:id="39" w:name="text-s6.-regenerating-stand"/>
    <w:p>
      <w:pPr>
        <w:pStyle w:val="Heading2"/>
      </w:pPr>
      <w:r>
        <w:t xml:space="preserve">Text S6.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Built like the other classes, campaign by campaign with each campaign’s measured flooded share (0.96 of depth readings with standing water in October 2022, 0 in March 2023) and then averaged, BL60 emits ~29 g CH4 m−2 yr−1 with stem and prop-root areas midway between the ghost and intact classes, and 24–33 for no woody surface to the full intact woody surface; the floor (soil and water) alone supplies ~24. This is above both ghost (~12) and intact (~1.5) forest under every structural assumption. The estimate assumes structure and is not part of the closed budgets or forcing, but indicates that early regeneration need not be a low-emission state.</w:t>
      </w:r>
    </w:p>
    <w:bookmarkEnd w:id="39"/>
    <w:bookmarkStart w:id="40" w:name="X355b6fec642a9e3bf22d2b8a85d213cde7afb3c"/>
    <w:p>
      <w:pPr>
        <w:pStyle w:val="Heading2"/>
      </w:pPr>
      <w:r>
        <w:t xml:space="preserve">Text S7. Porewater alkalinity and sulfate</w:t>
      </w:r>
    </w:p>
    <w:p>
      <w:pPr>
        <w:pStyle w:val="FirstParagraph"/>
      </w:pPr>
      <w:r>
        <w:t xml:space="preserve">Porewater alkalinity (October 2025, 0–90 cm) was 11–33 mM (site medians), five to fifteen times seawater: 11–12 mM at the intact sites, 16 mM at CP40 and 33 mM at BL60. Alkalinity at this level indicates that sulfate reduction was active at every site. At CP40, sulfate remained near 32 mM, the highest of any site, alongside the highest dissolved CH4: methane accumulated alongside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S15).</w:t>
      </w:r>
    </w:p>
    <w:bookmarkEnd w:id="40"/>
    <w:bookmarkStart w:id="41" w:name="text-s8.-context-sites"/>
    <w:p>
      <w:pPr>
        <w:pStyle w:val="Heading2"/>
      </w:pPr>
      <w:r>
        <w:t xml:space="preserve">Text S8. Context sites</w:t>
      </w:r>
    </w:p>
    <w:p>
      <w:pPr>
        <w:pStyle w:val="FirstParagraph"/>
      </w:pPr>
      <w:r>
        <w:t xml:space="preserve">Single dry-season visits place the core results in a wider context (table S12);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41"/>
    <w:bookmarkStart w:id="42"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1.6 nmol m−2 s−1 in a protected Puerto Rico reserve and ~39 at an urban site (Martin et al. 2020)</w:t>
      </w:r>
      <w:r>
        <w:t xml:space="preserve"> </w:t>
      </w:r>
      <w:r>
        <w:rPr>
          <w:i/>
          <w:iCs/>
        </w:rPr>
        <w:t xml:space="preserve">[CHECK: means]</w:t>
      </w:r>
      <w:r>
        <w:t xml:space="preserve">; 3–59 across zones in southwest Puerto Rico (Sotomayor et al. 1994)</w:t>
      </w:r>
      <w:r>
        <w:t xml:space="preserve"> </w:t>
      </w:r>
      <w:r>
        <w:rPr>
          <w:i/>
          <w:iCs/>
        </w:rPr>
        <w:t xml:space="preserve">[CHECK: values]</w:t>
      </w:r>
      <w:r>
        <w:t xml:space="preserve">;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bookmarkEnd w:id="42"/>
    <w:bookmarkStart w:id="43" w:name="Xf749db9f23e8ba2aa4d0d118ca56884e53e5c65"/>
    <w:p>
      <w:pPr>
        <w:pStyle w:val="Heading2"/>
      </w:pPr>
      <w:r>
        <w:t xml:space="preserve">Text S9. Sensitivity to analytical choices</w:t>
      </w:r>
    </w:p>
    <w:p>
      <w:pPr>
        <w:pStyle w:val="FirstParagraph"/>
      </w:pPr>
      <w:r>
        <w:t xml:space="preserve">Fig. S12 shows the effect of each choice on the intact-to-ghost switch. 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S10. Three results hold under every choice: at GWP20 the ghost class is a net source (+2,400 to +4,360 g CO2-eq m−2 yr−1; +1,830 to +3,630 at GWP100), the intact class is a net sink on vertical exchange (−2,690 to −4,310), and intact CH4 emission is clearly non-zero (0.9–2.1 g CH4 m−2 yr−1). The switch spans ~5,600–8,000 g CO2-eq m−2 yr−1 at GWP20 (~5,100–7,300 at GWP100), and ~5,100–5,500 under the plausible carbon-balance framings. The largest levers on the intact budget are canopy leaf respiration (LAI), the downed-wood volume and the flooding representation, which also decides the leading intact CH4 pathway: soils (55%) and roots (28%) in the central case; roots (44%) under the all-or-nothing switch.</w:t>
      </w:r>
    </w:p>
    <w:bookmarkEnd w:id="43"/>
    <w:bookmarkStart w:id="44" w:name="X6933e45f6e1338ae2090d5da0e5ad4e712af8b7"/>
    <w:p>
      <w:pPr>
        <w:pStyle w:val="Heading2"/>
      </w:pPr>
      <w:r>
        <w:t xml:space="preserve">Text S10. Net forcing under carbon-balance framings</w:t>
      </w:r>
    </w:p>
    <w:p>
      <w:pPr>
        <w:pStyle w:val="FirstParagraph"/>
      </w:pPr>
      <w:r>
        <w:t xml:space="preserve">On vertical exchange the intact class is a sink of −3,630 g CO2-eq m−2 yr−1 at GWP20 (−3,710 at GWP100), and its CH4 offsets 3% (GWP20) to 1% (GWP100) of the CO2 sink. Under the central lateral scenario (346 g C m−2 yr−1) the intact forest retains ~680 g C m−2 yr−1. With exported alkalinity retained in the ocean and the rest returned to the air, the intact sink is −2,710 g CO2-eq m−2 yr−1 at GWP20 (−2,960 to −1,710 across lateral scenarios), CH4 offsets 5% of it, and the switch is ~5,500 (~5,000 at GWP100). If all exported carbon returns to the air, the intact sink is −2,330 (−2,730 to −150)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(≈770 g C m−2 yr−1), which falls between the central and high scenarios (Fig. 5A). Lateral export of dissolved CH4 from intact forest (~0.35 g C m−2 yr−1; Yau et al. 2024, an analogue) is small beside stand emission (1.1 g C m−2 yr−1). The intact sink stays negative in every coherent scenario and approaches neutrality only with the highest export and complete atmospheric return.</w:t>
      </w:r>
    </w:p>
    <w:bookmarkEnd w:id="44"/>
    <w:bookmarkStart w:id="45" w:name="Xb47327092bc7bf027530dc5a02bb0b4942001b2"/>
    <w:p>
      <w:pPr>
        <w:pStyle w:val="Heading2"/>
      </w:pPr>
      <w:r>
        <w:t xml:space="preserve">Text S11.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p>
      <w:r>
        <w:pict>
          <v:rect style="width:0;height:1.5pt" o:hralign="center" o:hrstd="t" o:hr="t"/>
        </w:pict>
      </w:r>
    </w:p>
    <w:bookmarkEnd w:id="45"/>
    <w:bookmarkEnd w:id="46"/>
    <w:bookmarkStart w:id="98" w:name="supplementary-figures"/>
    <w:p>
      <w:pPr>
        <w:pStyle w:val="Heading1"/>
      </w:pPr>
      <w:r>
        <w:t xml:space="preserve">Supplementary Figures</w:t>
      </w:r>
    </w:p>
    <w:p>
      <w:pPr>
        <w:pStyle w:val="FirstParagraph"/>
      </w:pPr>
      <w:r>
        <w:drawing>
          <wp:inline>
            <wp:extent cx="5334000" cy="7723316"/>
            <wp:effectExtent b="0" l="0" r="0" t="0"/>
            <wp:docPr descr="" title="" id="48" name="Picture"/>
            <a:graphic>
              <a:graphicData uri="http://schemas.openxmlformats.org/drawingml/2006/picture">
                <pic:pic>
                  <pic:nvPicPr>
                    <pic:cNvPr descr="output/figures/other/pub_SI_chamber_photos.png" id="49" name="Picture"/>
                    <pic:cNvPicPr>
                      <a:picLocks noChangeArrowheads="1" noChangeAspect="1"/>
                    </pic:cNvPicPr>
                  </pic:nvPicPr>
                  <pic:blipFill>
                    <a:blip r:embed="rId47"/>
                    <a:stretch>
                      <a:fillRect/>
                    </a:stretch>
                  </pic:blipFill>
                  <pic:spPr bwMode="auto">
                    <a:xfrm>
                      <a:off x="0" y="0"/>
                      <a:ext cx="5334000" cy="7723316"/>
                    </a:xfrm>
                    <a:prstGeom prst="rect">
                      <a:avLst/>
                    </a:prstGeom>
                    <a:noFill/>
                    <a:ln w="9525">
                      <a:noFill/>
                      <a:headEnd/>
                      <a:tailEnd/>
                    </a:ln>
                  </pic:spPr>
                </pic:pic>
              </a:graphicData>
            </a:graphic>
          </wp:inline>
        </w:drawing>
      </w:r>
    </w:p>
    <w:p>
      <w:pPr>
        <w:pStyle w:val="BodyText"/>
      </w:pPr>
      <w:r>
        <w:rPr>
          <w:b/>
          <w:bCs/>
        </w:rPr>
        <w:t xml:space="preserve">Fig. S1.</w:t>
      </w:r>
      <w:r>
        <w:t xml:space="preserve"> </w:t>
      </w:r>
      <w:r>
        <w:t xml:space="preserve">Chamber types: (a) soil cylinder, (b) soil cylinder enclosing pneumatophores, (c) soil collar and dome, (d) floating water chamber, (e) prop root, (f) stem, (g) woody debris and (h) leaf.</w:t>
      </w:r>
    </w:p>
    <w:p>
      <w:pPr>
        <w:pStyle w:val="BodyText"/>
      </w:pPr>
      <w:r>
        <w:drawing>
          <wp:inline>
            <wp:extent cx="5334000" cy="5926666"/>
            <wp:effectExtent b="0" l="0" r="0" t="0"/>
            <wp:docPr descr="" title="" id="51" name="Picture"/>
            <a:graphic>
              <a:graphicData uri="http://schemas.openxmlformats.org/drawingml/2006/picture">
                <pic:pic>
                  <pic:nvPicPr>
                    <pic:cNvPr descr="output/figures/other/sampling_design.png" id="52" name="Picture"/>
                    <pic:cNvPicPr>
                      <a:picLocks noChangeArrowheads="1" noChangeAspect="1"/>
                    </pic:cNvPicPr>
                  </pic:nvPicPr>
                  <pic:blipFill>
                    <a:blip r:embed="rId50"/>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drawing>
          <wp:inline>
            <wp:extent cx="5334000" cy="2370666"/>
            <wp:effectExtent b="0" l="0" r="0" t="0"/>
            <wp:docPr descr="" title="" id="54" name="Picture"/>
            <a:graphic>
              <a:graphicData uri="http://schemas.openxmlformats.org/drawingml/2006/picture">
                <pic:pic>
                  <pic:nvPicPr>
                    <pic:cNvPr descr="output/figures/other/water_positions_by_campaign.png" id="55" name="Picture"/>
                    <pic:cNvPicPr>
                      <a:picLocks noChangeArrowheads="1" noChangeAspect="1"/>
                    </pic:cNvPicPr>
                  </pic:nvPicPr>
                  <pic:blipFill>
                    <a:blip r:embed="rId53"/>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rPr>
          <w:b/>
          <w:bCs/>
        </w:rPr>
        <w:t xml:space="preserve">Fig. S2.</w:t>
      </w:r>
      <w:r>
        <w:t xml:space="preserve"> </w:t>
      </w:r>
      <w:r>
        <w:t xml:space="preserve">Sampling design relative to tide and standing water. (a) Chamber measurements by site and campaign against water level above the soil (FCE LTER loggers; the SRS5 October 2022 record has a gap before 19 October); diamonds at −2 cm mark chambers without a recorded water depth; triangles mark dissolved-gas samples. (b) Water-surface CH4 flux by campaign and site, by chamber position (above the flooded forest floor, or in a channel or open water at the tidal sites; the ghost and regenerating sites have no channels); bars, arithmetic means. At the two tidal sites where both positions were sampled (SRS5, SRS6; March 2023), flux did not differ between them (Wilcoxon p = 0.29 and 1), so channel and open-water placements neither missed nor inflated water hotspots.</w:t>
      </w:r>
    </w:p>
    <w:p>
      <w:pPr>
        <w:pStyle w:val="BodyText"/>
      </w:pPr>
      <w:r>
        <w:drawing>
          <wp:inline>
            <wp:extent cx="5334000" cy="6815666"/>
            <wp:effectExtent b="0" l="0" r="0" t="0"/>
            <wp:docPr descr="" title="" id="57" name="Picture"/>
            <a:graphic>
              <a:graphicData uri="http://schemas.openxmlformats.org/drawingml/2006/picture">
                <pic:pic>
                  <pic:nvPicPr>
                    <pic:cNvPr descr="output/figures/other/pub_component_by_plot_campaign_combined_condensed_boot.png" id="58" name="Picture"/>
                    <pic:cNvPicPr>
                      <a:picLocks noChangeArrowheads="1" noChangeAspect="1"/>
                    </pic:cNvPicPr>
                  </pic:nvPicPr>
                  <pic:blipFill>
                    <a:blip r:embed="rId56"/>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 S3.</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5185833"/>
            <wp:effectExtent b="0" l="0" r="0" t="0"/>
            <wp:docPr descr="" title="" id="60" name="Picture"/>
            <a:graphic>
              <a:graphicData uri="http://schemas.openxmlformats.org/drawingml/2006/picture">
                <pic:pic>
                  <pic:nvPicPr>
                    <pic:cNvPr descr="output/figures/other/pub_SI_ebullition_partition.png" id="61" name="Picture"/>
                    <pic:cNvPicPr>
                      <a:picLocks noChangeArrowheads="1" noChangeAspect="1"/>
                    </pic:cNvPicPr>
                  </pic:nvPicPr>
                  <pic:blipFill>
                    <a:blip r:embed="rId59"/>
                    <a:stretch>
                      <a:fillRect/>
                    </a:stretch>
                  </pic:blipFill>
                  <pic:spPr bwMode="auto">
                    <a:xfrm>
                      <a:off x="0" y="0"/>
                      <a:ext cx="5334000" cy="5185833"/>
                    </a:xfrm>
                    <a:prstGeom prst="rect">
                      <a:avLst/>
                    </a:prstGeom>
                    <a:noFill/>
                    <a:ln w="9525">
                      <a:noFill/>
                      <a:headEnd/>
                      <a:tailEnd/>
                    </a:ln>
                  </pic:spPr>
                </pic:pic>
              </a:graphicData>
            </a:graphic>
          </wp:inline>
        </w:drawing>
      </w:r>
    </w:p>
    <w:p>
      <w:pPr>
        <w:pStyle w:val="BodyText"/>
      </w:pPr>
      <w:r>
        <w:rPr>
          <w:b/>
          <w:bCs/>
        </w:rPr>
        <w:t xml:space="preserve">Fig. S4.</w:t>
      </w:r>
      <w:r>
        <w:t xml:space="preserve"> </w:t>
      </w:r>
      <w:r>
        <w:t xml:space="preserve">Ebullition. (a) Diffusive and detected ebullitive water-surface CH4 by site and season, with an upper bound on undetected ebullition (pale; excess of a whole-placement fit over diffusive + detected ebullitive flux, LGR placements); labels give n and the ebullitive share (detected–upper bound); bars, means ± SE of the total (shown where n &gt; 3); points, individual measurements; each panel has its own linear y axis. (b) Example placements: a single bubble mid-placement (CP40, October 2022), two bubbles (CP40, March 2023), and long bubble-free placements in ghost (FLM30, 31 min) and intact forest (SRS6, 14 min), showing detected bubble steps (shaded), the de-ebulliated series and the diffusive linear fit (M7).</w:t>
      </w:r>
    </w:p>
    <w:p>
      <w:pPr>
        <w:pStyle w:val="BodyText"/>
      </w:pPr>
      <w:r>
        <w:drawing>
          <wp:inline>
            <wp:extent cx="5334000" cy="3407833"/>
            <wp:effectExtent b="0" l="0" r="0" t="0"/>
            <wp:docPr descr="" title="" id="63" name="Picture"/>
            <a:graphic>
              <a:graphicData uri="http://schemas.openxmlformats.org/drawingml/2006/picture">
                <pic:pic>
                  <pic:nvPicPr>
                    <pic:cNvPr descr="output/figures/other/pub_SI_pneumatophore_density.png" id="64" name="Picture"/>
                    <pic:cNvPicPr>
                      <a:picLocks noChangeArrowheads="1" noChangeAspect="1"/>
                    </pic:cNvPicPr>
                  </pic:nvPicPr>
                  <pic:blipFill>
                    <a:blip r:embed="rId62"/>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 S5.</w:t>
      </w:r>
      <w:r>
        <w:t xml:space="preserve"> </w:t>
      </w:r>
      <w:r>
        <w:t xml:space="preserve">Soil CH4 (a) and CO2 (b) flux against pneumatophore density per collar, by site (dry-season visits; shape, visit). Lines, least-squares fits ± 95% CI; ρ, Spearman rank correlation with p and n. Marco Island collars had no pneumatophores and are not shown.</w:t>
      </w:r>
    </w:p>
    <w:p>
      <w:pPr>
        <w:pStyle w:val="BodyText"/>
      </w:pPr>
      <w:r>
        <w:drawing>
          <wp:inline>
            <wp:extent cx="5334000" cy="4593166"/>
            <wp:effectExtent b="0" l="0" r="0" t="0"/>
            <wp:docPr descr="" title="" id="66" name="Picture"/>
            <a:graphic>
              <a:graphicData uri="http://schemas.openxmlformats.org/drawingml/2006/picture">
                <pic:pic>
                  <pic:nvPicPr>
                    <pic:cNvPr descr="output/figures/other/pub_stem_height_composite_combined.png" id="67" name="Picture"/>
                    <pic:cNvPicPr>
                      <a:picLocks noChangeArrowheads="1" noChangeAspect="1"/>
                    </pic:cNvPicPr>
                  </pic:nvPicPr>
                  <pic:blipFill>
                    <a:blip r:embed="rId65"/>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S6.</w:t>
      </w:r>
      <w:r>
        <w:t xml:space="preserve"> </w:t>
      </w:r>
      <w:r>
        <w:t xml:space="preserve">Stem detail at SRS5, SRS6, BL60, CP40 and FLM30. (a, b) Stem CH4 and CO2 by height class and forest class: overlapping class densities (inverse-hyperbolic-sine scale) for each height band, with each class’s measurements in its own row beneath and arithmetic means (diamonds) for groups with n &gt; 3. (c, d) CH4 and CO2 estimated marginal means (95% CI), averaged over height, by species and live/dead status from linear mixed-effects models with height class and season as fixed effects and site as a random intercept (M20); n, closures per group. Dead stems come mostly from the ghost sites, so status is partly confounded with forest class.</w:t>
      </w:r>
    </w:p>
    <w:p>
      <w:pPr>
        <w:pStyle w:val="BodyText"/>
      </w:pPr>
      <w:r>
        <w:drawing>
          <wp:inline>
            <wp:extent cx="5334000" cy="6371166"/>
            <wp:effectExtent b="0" l="0" r="0" t="0"/>
            <wp:docPr descr="" title="" id="69" name="Picture"/>
            <a:graphic>
              <a:graphicData uri="http://schemas.openxmlformats.org/drawingml/2006/picture">
                <pic:pic>
                  <pic:nvPicPr>
                    <pic:cNvPr descr="output/figures/other/stem_extrap_clean.png" id="70" name="Picture"/>
                    <pic:cNvPicPr>
                      <a:picLocks noChangeArrowheads="1" noChangeAspect="1"/>
                    </pic:cNvPicPr>
                  </pic:nvPicPr>
                  <pic:blipFill>
                    <a:blip r:embed="rId68"/>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rPr>
          <w:b/>
          <w:bCs/>
        </w:rPr>
        <w:t xml:space="preserve">Fig. S7.</w:t>
      </w:r>
      <w:r>
        <w:t xml:space="preserve"> </w:t>
      </w:r>
      <w:r>
        <w:t xml:space="preserve">Stem height extrapolation (text S1). (a) Measured stem CH4 (points; height above water or soil) and the stem profile under each of six extrapolation rules (lines; TLS height above ground), by site and campaign; the default rule is exponential decay to zero; shaded, above the 1.5 m chamber limit; square-root height axis; inverse-hyperbolic-sine flux axes that differ by site. (b) Stem CH4 per unit ground area (absolute tree flux) and (c) total plot CH4 under each rule, with non-stem components held constant and high tide at tidal sites; x axes differ by site.</w:t>
      </w:r>
    </w:p>
    <w:p>
      <w:pPr>
        <w:pStyle w:val="BodyText"/>
      </w:pPr>
      <w:r>
        <w:drawing>
          <wp:inline>
            <wp:extent cx="5334000" cy="2667000"/>
            <wp:effectExtent b="0" l="0" r="0" t="0"/>
            <wp:docPr descr="" title="" id="72" name="Picture"/>
            <a:graphic>
              <a:graphicData uri="http://schemas.openxmlformats.org/drawingml/2006/picture">
                <pic:pic>
                  <pic:nvPicPr>
                    <pic:cNvPr descr="output/figures/other/SA_by_segment_height_fixedY.png" id="73" name="Picture"/>
                    <pic:cNvPicPr>
                      <a:picLocks noChangeArrowheads="1" noChangeAspect="1"/>
                    </pic:cNvPicPr>
                  </pic:nvPicPr>
                  <pic:blipFill>
                    <a:blip r:embed="rId71"/>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S8.</w:t>
      </w:r>
      <w:r>
        <w:t xml:space="preserve"> </w:t>
      </w:r>
      <w:r>
        <w:t xml:space="preserve">Laser-scanned woody surface per unit ground area (m2 m−2 per 0.5 m height bin) by segment class (prop root, stem, branch) for the four scanned plots; labels give total woody surface per unit ground area and the share above the 1.5 m chamber height limit (dashed line).</w:t>
      </w:r>
    </w:p>
    <w:p>
      <w:pPr>
        <w:pStyle w:val="BodyText"/>
      </w:pPr>
      <w:r>
        <w:drawing>
          <wp:inline>
            <wp:extent cx="5334000" cy="2963333"/>
            <wp:effectExtent b="0" l="0" r="0" t="0"/>
            <wp:docPr descr="" title="" id="75" name="Picture"/>
            <a:graphic>
              <a:graphicData uri="http://schemas.openxmlformats.org/drawingml/2006/picture">
                <pic:pic>
                  <pic:nvPicPr>
                    <pic:cNvPr descr="output/figures/other/si_tide_states.png" id="76" name="Picture"/>
                    <pic:cNvPicPr>
                      <a:picLocks noChangeArrowheads="1" noChangeAspect="1"/>
                    </pic:cNvPicPr>
                  </pic:nvPicPr>
                  <pic:blipFill>
                    <a:blip r:embed="rId74"/>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rPr>
          <w:b/>
          <w:bCs/>
        </w:rPr>
        <w:t xml:space="preserve">Fig. S9.</w:t>
      </w:r>
      <w:r>
        <w:t xml:space="preserve"> </w:t>
      </w:r>
      <w:r>
        <w:t xml:space="preserve">Stand CH4 of the intact forest at high and low tide by component (SRS5, SRS6; October 2022 and March 2023; exponential stem rule). Diamonds and bars, stand total and Monte Carlo 95% interval; dashed line, the tide-weighted value used in the budgets (flooded share of the floor in the campaign month; M11); inverse-hyperbolic-sine axis.</w:t>
      </w:r>
    </w:p>
    <w:p>
      <w:pPr>
        <w:pStyle w:val="BodyText"/>
      </w:pPr>
      <w:r>
        <w:drawing>
          <wp:inline>
            <wp:extent cx="5334000" cy="3704166"/>
            <wp:effectExtent b="0" l="0" r="0" t="0"/>
            <wp:docPr descr="" title="" id="78" name="Picture"/>
            <a:graphic>
              <a:graphicData uri="http://schemas.openxmlformats.org/drawingml/2006/picture">
                <pic:pic>
                  <pic:nvPicPr>
                    <pic:cNvPr descr="output/figures/other/si_flood_fraction.png" id="79" name="Picture"/>
                    <pic:cNvPicPr>
                      <a:picLocks noChangeArrowheads="1" noChangeAspect="1"/>
                    </pic:cNvPicPr>
                  </pic:nvPicPr>
                  <pic:blipFill>
                    <a:blip r:embed="rId77"/>
                    <a:stretch>
                      <a:fillRect/>
                    </a:stretch>
                  </pic:blipFill>
                  <pic:spPr bwMode="auto">
                    <a:xfrm>
                      <a:off x="0" y="0"/>
                      <a:ext cx="5334000" cy="3704166"/>
                    </a:xfrm>
                    <a:prstGeom prst="rect">
                      <a:avLst/>
                    </a:prstGeom>
                    <a:noFill/>
                    <a:ln w="9525">
                      <a:noFill/>
                      <a:headEnd/>
                      <a:tailEnd/>
                    </a:ln>
                  </pic:spPr>
                </pic:pic>
              </a:graphicData>
            </a:graphic>
          </wp:inline>
        </w:drawing>
      </w:r>
    </w:p>
    <w:p>
      <w:pPr>
        <w:pStyle w:val="BodyText"/>
      </w:pPr>
      <w:r>
        <w:rPr>
          <w:b/>
          <w:bCs/>
        </w:rPr>
        <w:t xml:space="preserve">Fig. S10.</w:t>
      </w:r>
      <w:r>
        <w:t xml:space="preserve"> </w:t>
      </w:r>
      <w:r>
        <w:t xml:space="preserve">Flooded share of the intact forest floor at the tidal sites (M11; table S13). (a) Hourly water level (FCE LTER logger datum) at SRS5 and SRS6 in the campaign months; points, logger level at each chamber water-depth reading (filled, standing water; open, none); dashed line and band, fitted mean floor height ± 1 SD. (b) Floor height relative to the logger datum, fitted as a normal distribution by censored maximum likelihood from the depth readings (green; rug, readings with standing water), against the distribution of hourly water level in each campaign month; floor below the water is flooded. (c) Campaign-month flooded share: area-weighted mean of the hourly flooded share (central; bars, floor mean ± 1.96 SE), the all-or-nothing switch (whole floor flooded when the offset-corrected logger level is above zero) and the long-term area-weighted value (2010 onward, dashed).</w:t>
      </w:r>
    </w:p>
    <w:p>
      <w:pPr>
        <w:pStyle w:val="BodyText"/>
      </w:pPr>
      <w:r>
        <w:drawing>
          <wp:inline>
            <wp:extent cx="5334000" cy="4741333"/>
            <wp:effectExtent b="0" l="0" r="0" t="0"/>
            <wp:docPr descr="" title="" id="81" name="Picture"/>
            <a:graphic>
              <a:graphicData uri="http://schemas.openxmlformats.org/drawingml/2006/picture">
                <pic:pic>
                  <pic:nvPicPr>
                    <pic:cNvPr descr="output/figures/other/si_waterline.png" id="82" name="Picture"/>
                    <pic:cNvPicPr>
                      <a:picLocks noChangeArrowheads="1" noChangeAspect="1"/>
                    </pic:cNvPicPr>
                  </pic:nvPicPr>
                  <pic:blipFill>
                    <a:blip r:embed="rId80"/>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S11.</w:t>
      </w:r>
      <w:r>
        <w:t xml:space="preserve"> </w:t>
      </w:r>
      <w:r>
        <w:t xml:space="preserve">Water level against the woody surfaces at the four laser-scanned sites (M10, M11; vertical axis to scale, cm above the plot’s mean floor; horizontal positions, prop-root reach and pneumatophores illustrative). Lines, water level by campaign (dark, wet season, October 2022; light, dry season, March 2023): at the tidal intact sites (a, b), mean high (dashed) and low (solid) water of the campaign month from the FCE LTER loggers; at the ghost sites (c, d), mean recorded depth. Floor relief follows the fitted floor-height distribution (tidal sites) or the recorded depths (ghost sites); stems stand on the mean floor (tidal) or at the mean floor height of the stem chambers (ghost); stem and prop-root diameters, root heights and stem number per 7 m are from TLS; downed wood has the median measured diameter and lies on the mean floor. Subtitles give the share of each surface above water used in the budgets (mean of the two campaigns; lowest 0.5 m of stem), the flooded share of the floor, and the median annual maximum water level (2001–2024). Hourly extremes (99th and 1st percentiles) in the campaign months were +20 and −2 cm (October) and +12 and −28 cm (March) at SRS5, and +43 and −3 cm and +33 and −26 cm at SRS6.</w:t>
      </w:r>
    </w:p>
    <w:p>
      <w:pPr>
        <w:pStyle w:val="BodyText"/>
      </w:pPr>
      <w:r>
        <w:drawing>
          <wp:inline>
            <wp:extent cx="5334000" cy="4593166"/>
            <wp:effectExtent b="0" l="0" r="0" t="0"/>
            <wp:docPr descr="" title="" id="84" name="Picture"/>
            <a:graphic>
              <a:graphicData uri="http://schemas.openxmlformats.org/drawingml/2006/picture">
                <pic:pic>
                  <pic:nvPicPr>
                    <pic:cNvPr descr="output/figures/other/si_sensitivity_switch.png" id="85" name="Picture"/>
                    <pic:cNvPicPr>
                      <a:picLocks noChangeArrowheads="1" noChangeAspect="1"/>
                    </pic:cNvPicPr>
                  </pic:nvPicPr>
                  <pic:blipFill>
                    <a:blip r:embed="rId83"/>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S12.</w:t>
      </w:r>
      <w:r>
        <w:t xml:space="preserve"> </w:t>
      </w:r>
      <w:r>
        <w:t xml:space="preserve">Sensitivity of the intact-to-ghost switch (GWP20) to analytical choices, one at a time (text S9; table S10). Vertical line, central case (6,411 g CO2-eq m−2 yr−1); points left of it lower the switch, right of it raise it. Analytical choices keep the switch between ~5,600 and ~8,000 (GWP100: ~5,100–7,300); only carbon-balance framings that count lateral export or storage alone lower it further.</w:t>
      </w:r>
    </w:p>
    <w:p>
      <w:pPr>
        <w:pStyle w:val="BodyText"/>
      </w:pPr>
      <w:r>
        <w:drawing>
          <wp:inline>
            <wp:extent cx="5334000" cy="2667000"/>
            <wp:effectExtent b="0" l="0" r="0" t="0"/>
            <wp:docPr descr="" title="" id="87" name="Picture"/>
            <a:graphic>
              <a:graphicData uri="http://schemas.openxmlformats.org/drawingml/2006/picture">
                <pic:pic>
                  <pic:nvPicPr>
                    <pic:cNvPr descr="output/figures/other/si_S10_mc_uncertainty.png" id="88" name="Picture"/>
                    <pic:cNvPicPr>
                      <a:picLocks noChangeArrowheads="1" noChangeAspect="1"/>
                    </pic:cNvPicPr>
                  </pic:nvPicPr>
                  <pic:blipFill>
                    <a:blip r:embed="rId86"/>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S13.</w:t>
      </w:r>
      <w:r>
        <w:t xml:space="preserve"> </w:t>
      </w:r>
      <w:r>
        <w:t xml:space="preserve">Component CH4 per unit ground area by site and campaign: Monte Carlo mean and 95% interval (joint flux-rate and surface-area uncertainty; tide states weighted by the flooded share of the floor), with each component’s share of the variance of stand CH4 at right (text S4); inverse-hyperbolic-sine axis; components that are always zero omitted.</w:t>
      </w:r>
    </w:p>
    <w:p>
      <w:pPr>
        <w:pStyle w:val="BodyText"/>
      </w:pPr>
      <w:r>
        <w:drawing>
          <wp:inline>
            <wp:extent cx="5334000" cy="5482166"/>
            <wp:effectExtent b="0" l="0" r="0" t="0"/>
            <wp:docPr descr="" title="" id="90" name="Picture"/>
            <a:graphic>
              <a:graphicData uri="http://schemas.openxmlformats.org/drawingml/2006/picture">
                <pic:pic>
                  <pic:nvPicPr>
                    <pic:cNvPr descr="output/figures/other/ed_porewater_rounds.png" id="91" name="Picture"/>
                    <pic:cNvPicPr>
                      <a:picLocks noChangeArrowheads="1" noChangeAspect="1"/>
                    </pic:cNvPicPr>
                  </pic:nvPicPr>
                  <pic:blipFill>
                    <a:blip r:embed="rId89"/>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S14.</w:t>
      </w:r>
      <w:r>
        <w:t xml:space="preserve"> </w:t>
      </w:r>
      <w:r>
        <w:t xml:space="preserve">Porewater by site, sampling round (October 2022, March 2023, October 2025) and depth: (a) dissolved CH4 and (b) salinity (site × round × depth means; porewater only); (c) salinity against dissolved CH4 by site (including surface water; shape, round; log(1 + x) axis). Site names coloured by forest class. No porewater CH4 was analysed for SRS5 and SRS6 in March 2023.</w:t>
      </w:r>
    </w:p>
    <w:p>
      <w:pPr>
        <w:pStyle w:val="BodyText"/>
      </w:pPr>
      <w:r>
        <w:drawing>
          <wp:inline>
            <wp:extent cx="5334000" cy="2222500"/>
            <wp:effectExtent b="0" l="0" r="0" t="0"/>
            <wp:docPr descr="" title="" id="93" name="Picture"/>
            <a:graphic>
              <a:graphicData uri="http://schemas.openxmlformats.org/drawingml/2006/picture">
                <pic:pic>
                  <pic:nvPicPr>
                    <pic:cNvPr descr="output/figures/other/si_S12_carbonate.png" id="94" name="Picture"/>
                    <pic:cNvPicPr>
                      <a:picLocks noChangeArrowheads="1" noChangeAspect="1"/>
                    </pic:cNvPicPr>
                  </pic:nvPicPr>
                  <pic:blipFill>
                    <a:blip r:embed="rId92"/>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rPr>
          <w:b/>
          <w:bCs/>
        </w:rPr>
        <w:t xml:space="preserve">Fig. S15.</w:t>
      </w:r>
      <w:r>
        <w:t xml:space="preserve"> </w:t>
      </w:r>
      <w:r>
        <w:t xml:space="preserve">Porewater alkalinity against conservative mixing (October 2025; 0–90 cm, surface water excluded; text S7). (a) Total alkalinity against salinity, with the mixing line (dashed; end-members salinity 0, 3,000 µM and salinity 35, 2,400 µM). (b) Measured against mixing-predicted alkalinity; dashed, 1:1. (c) Measured ÷ mixing-predicted alkalinity by site. Fill, forest class; shape, site. FLM30 was not sampled for alkalinity.</w:t>
      </w:r>
    </w:p>
    <w:p>
      <w:pPr>
        <w:pStyle w:val="BodyText"/>
      </w:pPr>
      <w:r>
        <w:drawing>
          <wp:inline>
            <wp:extent cx="5334000" cy="1926166"/>
            <wp:effectExtent b="0" l="0" r="0" t="0"/>
            <wp:docPr descr="" title="" id="96" name="Picture"/>
            <a:graphic>
              <a:graphicData uri="http://schemas.openxmlformats.org/drawingml/2006/picture">
                <pic:pic>
                  <pic:nvPicPr>
                    <pic:cNvPr descr="output/figures/other/si_campaign_context.png" id="97" name="Picture"/>
                    <pic:cNvPicPr>
                      <a:picLocks noChangeArrowheads="1" noChangeAspect="1"/>
                    </pic:cNvPicPr>
                  </pic:nvPicPr>
                  <pic:blipFill>
                    <a:blip r:embed="rId95"/>
                    <a:stretch>
                      <a:fillRect/>
                    </a:stretch>
                  </pic:blipFill>
                  <pic:spPr bwMode="auto">
                    <a:xfrm>
                      <a:off x="0" y="0"/>
                      <a:ext cx="5334000" cy="1926166"/>
                    </a:xfrm>
                    <a:prstGeom prst="rect">
                      <a:avLst/>
                    </a:prstGeom>
                    <a:noFill/>
                    <a:ln w="9525">
                      <a:noFill/>
                      <a:headEnd/>
                      <a:tailEnd/>
                    </a:ln>
                  </pic:spPr>
                </pic:pic>
              </a:graphicData>
            </a:graphic>
          </wp:inline>
        </w:drawing>
      </w:r>
    </w:p>
    <w:p>
      <w:pPr>
        <w:pStyle w:val="BodyText"/>
      </w:pPr>
      <w:r>
        <w:rPr>
          <w:b/>
          <w:bCs/>
        </w:rPr>
        <w:t xml:space="preserve">Fig. S16.</w:t>
      </w:r>
      <w:r>
        <w:t xml:space="preserve"> </w:t>
      </w:r>
      <w:r>
        <w:t xml:space="preserve">Campaign context (M2). Monthly z-scores of SRS6 water level (FCE LTER, 2001–2024), air temperature and midday net CO2 uptake (US-Skr tower, 2004–2011 and 2018–2023) and tower CH4 flux (2018–2023; FCH4 + storage, quality flag ≤ 1, u* &gt; 0.2), each standardised over all of its year-months. Lines, median for each calendar month; bands, interquartile range across years (16–22 years per month for water level, 2–6 for tower CH4); points, the campaign months (October 2022, March 2023) with ±1 SD of daily means within the month; shading, campaign months. The tower CH4 record carries a negative dry-season offset that the z-score removes; only its seasonal pattern is shown.</w:t>
      </w:r>
    </w:p>
    <w:p>
      <w:pPr>
        <w:pStyle w:val="BodyText"/>
      </w:pPr>
      <w:r>
        <w:rPr>
          <w:b/>
          <w:bCs/>
        </w:rPr>
        <w:t xml:space="preserve">Fig. S17.</w:t>
      </w:r>
      <w:r>
        <w:t xml:space="preserve"> </w:t>
      </w:r>
      <w:r>
        <w:rPr>
          <w:i/>
          <w:iCs/>
        </w:rPr>
        <w:t xml:space="preserve">[PLACEHOLDER — sediment metagenome detail: taxonomy by site and depth, marker-gene abundance per gram sediment and per gram organic carbon, DNA yield (Peccia laboratory).]</w:t>
      </w:r>
    </w:p>
    <w:p>
      <w:r>
        <w:pict>
          <v:rect style="width:0;height:1.5pt" o:hralign="center" o:hrstd="t" o:hr="t"/>
        </w:pict>
      </w:r>
    </w:p>
    <w:bookmarkEnd w:id="98"/>
    <w:bookmarkStart w:id="99" w:name="supplementary-tables"/>
    <w:p>
      <w:pPr>
        <w:pStyle w:val="Heading1"/>
      </w:pPr>
      <w:r>
        <w:t xml:space="preserve">Supplementary Tables</w:t>
      </w:r>
    </w:p>
    <w:p>
      <w:pPr>
        <w:pStyle w:val="FirstParagraph"/>
      </w:pPr>
      <w:r>
        <w:rPr>
          <w:b/>
          <w:bCs/>
        </w:rPr>
        <w:t xml:space="preserve">Table S1. Study sites.</w:t>
      </w:r>
      <w:r>
        <w:t xml:space="preserve"> </w:t>
      </w:r>
      <w:r>
        <w:t xml:space="preserve">Core sites (SRS5–FLM30) and context sites (RB10, SE1, MI). Campaigns: month and year (number of chamber closures). Stand structure from terrestrial laser scanning of the four scanned plots (M10); DBH and height include standing dead trunks at the ghost sites; woody surface per m² of ground. Water level: at the tidal sites, mean high / low water of the campaign month above the plot’s mean floor (FCE LTER loggers; M11), with the flooded share of the floor in hours; elsewhere, mean (maximum) water depth recorded at chamber positions. Porewater salinity: mean of the porewater samples (M16).</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p>
        </w:tc>
        <w:tc>
          <w:tcPr/>
          <w:p>
            <w:pPr>
              <w:pStyle w:val="Compact"/>
            </w:pPr>
            <w:r>
              <w:t xml:space="preserve">SRS5</w:t>
            </w:r>
          </w:p>
        </w:tc>
        <w:tc>
          <w:tcPr/>
          <w:p>
            <w:pPr>
              <w:pStyle w:val="Compact"/>
            </w:pPr>
            <w:r>
              <w:t xml:space="preserve">SRS6</w:t>
            </w:r>
          </w:p>
        </w:tc>
        <w:tc>
          <w:tcPr/>
          <w:p>
            <w:pPr>
              <w:pStyle w:val="Compact"/>
            </w:pPr>
            <w:r>
              <w:t xml:space="preserve">BL60</w:t>
            </w:r>
          </w:p>
        </w:tc>
        <w:tc>
          <w:tcPr/>
          <w:p>
            <w:pPr>
              <w:pStyle w:val="Compact"/>
            </w:pPr>
            <w:r>
              <w:t xml:space="preserve">CP40</w:t>
            </w:r>
          </w:p>
        </w:tc>
        <w:tc>
          <w:tcPr/>
          <w:p>
            <w:pPr>
              <w:pStyle w:val="Compact"/>
            </w:pPr>
            <w:r>
              <w:t xml:space="preserve">FLM30</w:t>
            </w:r>
          </w:p>
        </w:tc>
        <w:tc>
          <w:tcPr/>
          <w:p>
            <w:pPr>
              <w:pStyle w:val="Compact"/>
            </w:pPr>
            <w:r>
              <w:t xml:space="preserve">RB10</w:t>
            </w:r>
          </w:p>
        </w:tc>
        <w:tc>
          <w:tcPr/>
          <w:p>
            <w:pPr>
              <w:pStyle w:val="Compact"/>
            </w:pPr>
            <w:r>
              <w:t xml:space="preserve">SE1</w:t>
            </w:r>
          </w:p>
        </w:tc>
        <w:tc>
          <w:tcPr/>
          <w:p>
            <w:pPr>
              <w:pStyle w:val="Compact"/>
            </w:pPr>
            <w:r>
              <w:t xml:space="preserve">MI</w:t>
            </w:r>
          </w:p>
        </w:tc>
      </w:tr>
      <w:tr>
        <w:tc>
          <w:tcPr/>
          <w:p>
            <w:pPr>
              <w:pStyle w:val="Compact"/>
            </w:pPr>
            <w:r>
              <w:t xml:space="preserve">Name</w:t>
            </w:r>
          </w:p>
        </w:tc>
        <w:tc>
          <w:tcPr/>
          <w:p>
            <w:pPr>
              <w:pStyle w:val="Compact"/>
            </w:pPr>
            <w:r>
              <w:t xml:space="preserve">Gunboat Island / SRS5</w:t>
            </w:r>
          </w:p>
        </w:tc>
        <w:tc>
          <w:tcPr/>
          <w:p>
            <w:pPr>
              <w:pStyle w:val="Compact"/>
            </w:pPr>
            <w:r>
              <w:t xml:space="preserve">Lower Shark / SRS6</w:t>
            </w:r>
          </w:p>
        </w:tc>
        <w:tc>
          <w:tcPr/>
          <w:p>
            <w:pPr>
              <w:pStyle w:val="Compact"/>
            </w:pPr>
            <w:r>
              <w:t xml:space="preserve">Bear Lake</w:t>
            </w:r>
          </w:p>
        </w:tc>
        <w:tc>
          <w:tcPr/>
          <w:p>
            <w:pPr>
              <w:pStyle w:val="Compact"/>
            </w:pPr>
            <w:r>
              <w:t xml:space="preserve">Christian Point</w:t>
            </w:r>
          </w:p>
        </w:tc>
        <w:tc>
          <w:tcPr/>
          <w:p>
            <w:pPr>
              <w:pStyle w:val="Compact"/>
            </w:pPr>
            <w:r>
              <w:t xml:space="preserve">Flamingo</w:t>
            </w:r>
          </w:p>
        </w:tc>
        <w:tc>
          <w:tcPr/>
          <w:p>
            <w:pPr>
              <w:pStyle w:val="Compact"/>
            </w:pPr>
            <w:r>
              <w:t xml:space="preserve">Rookery Bay</w:t>
            </w:r>
          </w:p>
        </w:tc>
        <w:tc>
          <w:tcPr/>
          <w:p>
            <w:pPr>
              <w:pStyle w:val="Compact"/>
            </w:pPr>
            <w:r>
              <w:t xml:space="preserve">SE-1 / US-EvM</w:t>
            </w:r>
          </w:p>
        </w:tc>
        <w:tc>
          <w:tcPr/>
          <w:p>
            <w:pPr>
              <w:pStyle w:val="Compact"/>
            </w:pPr>
            <w:r>
              <w:t xml:space="preserve">Marco Island</w:t>
            </w:r>
          </w:p>
        </w:tc>
      </w:tr>
      <w:tr>
        <w:tc>
          <w:tcPr/>
          <w:p>
            <w:pPr>
              <w:pStyle w:val="Compact"/>
            </w:pPr>
            <w:r>
              <w:t xml:space="preserve">Class</w:t>
            </w:r>
          </w:p>
        </w:tc>
        <w:tc>
          <w:tcPr/>
          <w:p>
            <w:pPr>
              <w:pStyle w:val="Compact"/>
            </w:pPr>
            <w:r>
              <w:t xml:space="preserve">intact</w:t>
            </w:r>
          </w:p>
        </w:tc>
        <w:tc>
          <w:tcPr/>
          <w:p>
            <w:pPr>
              <w:pStyle w:val="Compact"/>
            </w:pPr>
            <w:r>
              <w:t xml:space="preserve">intact</w:t>
            </w:r>
          </w:p>
        </w:tc>
        <w:tc>
          <w:tcPr/>
          <w:p>
            <w:pPr>
              <w:pStyle w:val="Compact"/>
            </w:pPr>
            <w:r>
              <w:t xml:space="preserve">regenerating</w:t>
            </w:r>
          </w:p>
        </w:tc>
        <w:tc>
          <w:tcPr/>
          <w:p>
            <w:pPr>
              <w:pStyle w:val="Compact"/>
            </w:pPr>
            <w:r>
              <w:t xml:space="preserve">ghost</w:t>
            </w:r>
          </w:p>
        </w:tc>
        <w:tc>
          <w:tcPr/>
          <w:p>
            <w:pPr>
              <w:pStyle w:val="Compact"/>
            </w:pPr>
            <w:r>
              <w:t xml:space="preserve">ghost</w:t>
            </w:r>
          </w:p>
        </w:tc>
        <w:tc>
          <w:tcPr/>
          <w:p>
            <w:pPr>
              <w:pStyle w:val="Compact"/>
            </w:pPr>
            <w:r>
              <w:t xml:space="preserve">intact (context)</w:t>
            </w:r>
          </w:p>
        </w:tc>
        <w:tc>
          <w:tcPr/>
          <w:p>
            <w:pPr>
              <w:pStyle w:val="Compact"/>
            </w:pPr>
            <w:r>
              <w:t xml:space="preserve">scrub (context)</w:t>
            </w:r>
          </w:p>
        </w:tc>
        <w:tc>
          <w:tcPr/>
          <w:p>
            <w:pPr>
              <w:pStyle w:val="Compact"/>
            </w:pPr>
            <w:r>
              <w:t xml:space="preserve">ghost (context)</w:t>
            </w:r>
          </w:p>
        </w:tc>
      </w:tr>
      <w:tr>
        <w:tc>
          <w:tcPr/>
          <w:p>
            <w:pPr>
              <w:pStyle w:val="Compact"/>
            </w:pPr>
            <w:r>
              <w:t xml:space="preserve">Latitude, longitude</w:t>
            </w:r>
          </w:p>
        </w:tc>
        <w:tc>
          <w:tcPr/>
          <w:p>
            <w:pPr>
              <w:pStyle w:val="Compact"/>
            </w:pPr>
            <w:r>
              <w:t xml:space="preserve">25.3770, -81.0323</w:t>
            </w:r>
          </w:p>
        </w:tc>
        <w:tc>
          <w:tcPr/>
          <w:p>
            <w:pPr>
              <w:pStyle w:val="Compact"/>
            </w:pPr>
            <w:r>
              <w:t xml:space="preserve">25.3646, -81.0779</w:t>
            </w:r>
          </w:p>
        </w:tc>
        <w:tc>
          <w:tcPr/>
          <w:p>
            <w:pPr>
              <w:pStyle w:val="Compact"/>
            </w:pPr>
            <w:r>
              <w:t xml:space="preserve">25.1578, -80.9232</w:t>
            </w:r>
          </w:p>
        </w:tc>
        <w:tc>
          <w:tcPr/>
          <w:p>
            <w:pPr>
              <w:pStyle w:val="Compact"/>
            </w:pPr>
            <w:r>
              <w:t xml:space="preserve">25.1493, -80.9110</w:t>
            </w:r>
          </w:p>
        </w:tc>
        <w:tc>
          <w:tcPr/>
          <w:p>
            <w:pPr>
              <w:pStyle w:val="Compact"/>
            </w:pPr>
            <w:r>
              <w:t xml:space="preserve">25.1599, -80.9120</w:t>
            </w:r>
          </w:p>
        </w:tc>
        <w:tc>
          <w:tcPr/>
          <w:p>
            <w:pPr>
              <w:pStyle w:val="Compact"/>
            </w:pPr>
            <w:r>
              <w:t xml:space="preserve">25.8629, -81.5612</w:t>
            </w:r>
          </w:p>
        </w:tc>
        <w:tc>
          <w:tcPr/>
          <w:p>
            <w:pPr>
              <w:pStyle w:val="Compact"/>
            </w:pPr>
            <w:r>
              <w:t xml:space="preserve">25.3531, -80.3807</w:t>
            </w:r>
          </w:p>
        </w:tc>
        <w:tc>
          <w:tcPr/>
          <w:p>
            <w:pPr>
              <w:pStyle w:val="Compact"/>
            </w:pPr>
            <w:r>
              <w:t xml:space="preserve">25.9303, -81.6725</w:t>
            </w:r>
          </w:p>
        </w:tc>
      </w:tr>
      <w:tr>
        <w:tc>
          <w:tcPr/>
          <w:p>
            <w:pPr>
              <w:pStyle w:val="Compact"/>
            </w:pPr>
            <w:r>
              <w:t xml:space="preserve">Dominant species</w:t>
            </w:r>
          </w:p>
        </w:tc>
        <w:tc>
          <w:tcPr/>
          <w:p>
            <w:pPr>
              <w:pStyle w:val="Compact"/>
            </w:pPr>
            <w:r>
              <w:rPr>
                <w:i/>
                <w:iCs/>
              </w:rPr>
              <w:t xml:space="preserve">Rhizophora mangle</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c>
          <w:tcPr/>
          <w:p>
            <w:pPr>
              <w:pStyle w:val="Compact"/>
            </w:pPr>
            <w:r>
              <w:rPr>
                <w:i/>
                <w:iCs/>
              </w:rPr>
              <w:t xml:space="preserve">Avicennia germinans</w:t>
            </w:r>
            <w:r>
              <w:t xml:space="preserve">,</w:t>
            </w:r>
            <w:r>
              <w:t xml:space="preserve"> </w:t>
            </w:r>
            <w:r>
              <w:rPr>
                <w:i/>
                <w:iCs/>
              </w:rPr>
              <w:t xml:space="preserve">Conocarpus erectus</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r>
      <w:tr>
        <w:tc>
          <w:tcPr/>
          <w:p>
            <w:pPr>
              <w:pStyle w:val="Compact"/>
            </w:pPr>
            <w:r>
              <w:t xml:space="preserve">Campaigns (closures)</w:t>
            </w:r>
          </w:p>
        </w:tc>
        <w:tc>
          <w:tcPr/>
          <w:p>
            <w:pPr>
              <w:pStyle w:val="Compact"/>
            </w:pPr>
            <w:r>
              <w:t xml:space="preserve">Oct 22 (64); Mar 23 (89)</w:t>
            </w:r>
          </w:p>
        </w:tc>
        <w:tc>
          <w:tcPr/>
          <w:p>
            <w:pPr>
              <w:pStyle w:val="Compact"/>
            </w:pPr>
            <w:r>
              <w:t xml:space="preserve">Mar 22 (15); Oct 22 (66); Mar 23 (65)</w:t>
            </w:r>
          </w:p>
        </w:tc>
        <w:tc>
          <w:tcPr/>
          <w:p>
            <w:pPr>
              <w:pStyle w:val="Compact"/>
            </w:pPr>
            <w:r>
              <w:t xml:space="preserve">Mar 22 (27); Oct 22 (44); Mar 23 (68)</w:t>
            </w:r>
          </w:p>
        </w:tc>
        <w:tc>
          <w:tcPr/>
          <w:p>
            <w:pPr>
              <w:pStyle w:val="Compact"/>
            </w:pPr>
            <w:r>
              <w:t xml:space="preserve">Oct 22 (57); Mar 23 (48)</w:t>
            </w:r>
          </w:p>
        </w:tc>
        <w:tc>
          <w:tcPr/>
          <w:p>
            <w:pPr>
              <w:pStyle w:val="Compact"/>
            </w:pPr>
            <w:r>
              <w:t xml:space="preserve">Mar 22 (43); Oct 22 (49); Mar 23 (61)</w:t>
            </w:r>
          </w:p>
        </w:tc>
        <w:tc>
          <w:tcPr/>
          <w:p>
            <w:pPr>
              <w:pStyle w:val="Compact"/>
            </w:pPr>
            <w:r>
              <w:t xml:space="preserve">Mar 22 (10)</w:t>
            </w:r>
          </w:p>
        </w:tc>
        <w:tc>
          <w:tcPr/>
          <w:p>
            <w:pPr>
              <w:pStyle w:val="Compact"/>
            </w:pPr>
            <w:r>
              <w:t xml:space="preserve">Mar 23 (17)</w:t>
            </w:r>
          </w:p>
        </w:tc>
        <w:tc>
          <w:tcPr/>
          <w:p>
            <w:pPr>
              <w:pStyle w:val="Compact"/>
            </w:pPr>
            <w:r>
              <w:t xml:space="preserve">Mar 22 (10); Mar 23 (20)</w:t>
            </w:r>
          </w:p>
        </w:tc>
      </w:tr>
      <w:tr>
        <w:tc>
          <w:tcPr/>
          <w:p>
            <w:pPr>
              <w:pStyle w:val="Compact"/>
            </w:pPr>
            <w:r>
              <w:t xml:space="preserve">Stem density (ha⁻¹)</w:t>
            </w:r>
          </w:p>
        </w:tc>
        <w:tc>
          <w:tcPr/>
          <w:p>
            <w:pPr>
              <w:pStyle w:val="Compact"/>
            </w:pPr>
            <w:r>
              <w:t xml:space="preserve">3,203</w:t>
            </w:r>
          </w:p>
        </w:tc>
        <w:tc>
          <w:tcPr/>
          <w:p>
            <w:pPr>
              <w:pStyle w:val="Compact"/>
            </w:pPr>
            <w:r>
              <w:t xml:space="preserve">1,694</w:t>
            </w:r>
          </w:p>
        </w:tc>
        <w:tc>
          <w:tcPr/>
          <w:p>
            <w:pPr>
              <w:pStyle w:val="Compact"/>
            </w:pPr>
            <w:r>
              <w:t xml:space="preserve">–</w:t>
            </w:r>
          </w:p>
        </w:tc>
        <w:tc>
          <w:tcPr/>
          <w:p>
            <w:pPr>
              <w:pStyle w:val="Compact"/>
            </w:pPr>
            <w:r>
              <w:t xml:space="preserve">552</w:t>
            </w:r>
          </w:p>
        </w:tc>
        <w:tc>
          <w:tcPr/>
          <w:p>
            <w:pPr>
              <w:pStyle w:val="Compact"/>
            </w:pPr>
            <w:r>
              <w:t xml:space="preserve">752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Basal area (m² ha⁻¹)</w:t>
            </w:r>
          </w:p>
        </w:tc>
        <w:tc>
          <w:tcPr/>
          <w:p>
            <w:pPr>
              <w:pStyle w:val="Compact"/>
            </w:pPr>
            <w:r>
              <w:t xml:space="preserve">24.5</w:t>
            </w:r>
          </w:p>
        </w:tc>
        <w:tc>
          <w:tcPr/>
          <w:p>
            <w:pPr>
              <w:pStyle w:val="Compact"/>
            </w:pPr>
            <w:r>
              <w:t xml:space="preserve">19.1</w:t>
            </w:r>
          </w:p>
        </w:tc>
        <w:tc>
          <w:tcPr/>
          <w:p>
            <w:pPr>
              <w:pStyle w:val="Compact"/>
            </w:pPr>
            <w:r>
              <w:t xml:space="preserve">–</w:t>
            </w:r>
          </w:p>
        </w:tc>
        <w:tc>
          <w:tcPr/>
          <w:p>
            <w:pPr>
              <w:pStyle w:val="Compact"/>
            </w:pPr>
            <w:r>
              <w:t xml:space="preserve">6.5</w:t>
            </w:r>
          </w:p>
        </w:tc>
        <w:tc>
          <w:tcPr/>
          <w:p>
            <w:pPr>
              <w:pStyle w:val="Compact"/>
            </w:pPr>
            <w:r>
              <w:t xml:space="preserve">5.6</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Tree height, mean / 95th pct. (m)</w:t>
            </w:r>
          </w:p>
        </w:tc>
        <w:tc>
          <w:tcPr/>
          <w:p>
            <w:pPr>
              <w:pStyle w:val="Compact"/>
            </w:pPr>
            <w:r>
              <w:t xml:space="preserve">7.6 / 14.7</w:t>
            </w:r>
          </w:p>
        </w:tc>
        <w:tc>
          <w:tcPr/>
          <w:p>
            <w:pPr>
              <w:pStyle w:val="Compact"/>
            </w:pPr>
            <w:r>
              <w:t xml:space="preserve">8.6 / 19.2</w:t>
            </w:r>
          </w:p>
        </w:tc>
        <w:tc>
          <w:tcPr/>
          <w:p>
            <w:pPr>
              <w:pStyle w:val="Compact"/>
            </w:pPr>
            <w:r>
              <w:t xml:space="preserve">–</w:t>
            </w:r>
          </w:p>
        </w:tc>
        <w:tc>
          <w:tcPr/>
          <w:p>
            <w:pPr>
              <w:pStyle w:val="Compact"/>
            </w:pPr>
            <w:r>
              <w:t xml:space="preserve">6.1 / 11.8</w:t>
            </w:r>
          </w:p>
        </w:tc>
        <w:tc>
          <w:tcPr/>
          <w:p>
            <w:pPr>
              <w:pStyle w:val="Compact"/>
            </w:pPr>
            <w:r>
              <w:t xml:space="preserve">5.6 / 9.4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Mean DBH (cm)</w:t>
            </w:r>
          </w:p>
        </w:tc>
        <w:tc>
          <w:tcPr/>
          <w:p>
            <w:pPr>
              <w:pStyle w:val="Compact"/>
            </w:pPr>
            <w:r>
              <w:t xml:space="preserve">8.9</w:t>
            </w:r>
          </w:p>
        </w:tc>
        <w:tc>
          <w:tcPr/>
          <w:p>
            <w:pPr>
              <w:pStyle w:val="Compact"/>
            </w:pPr>
            <w:r>
              <w:t xml:space="preserve">10.6</w:t>
            </w:r>
          </w:p>
        </w:tc>
        <w:tc>
          <w:tcPr/>
          <w:p>
            <w:pPr>
              <w:pStyle w:val="Compact"/>
            </w:pPr>
            <w:r>
              <w:t xml:space="preserve">–</w:t>
            </w:r>
          </w:p>
        </w:tc>
        <w:tc>
          <w:tcPr/>
          <w:p>
            <w:pPr>
              <w:pStyle w:val="Compact"/>
            </w:pPr>
            <w:r>
              <w:t xml:space="preserve">10.8</w:t>
            </w:r>
          </w:p>
        </w:tc>
        <w:tc>
          <w:tcPr/>
          <w:p>
            <w:pPr>
              <w:pStyle w:val="Compact"/>
            </w:pPr>
            <w:r>
              <w:t xml:space="preserve">9.0</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Woody surface, stem / root (m² m⁻²)</w:t>
            </w:r>
          </w:p>
        </w:tc>
        <w:tc>
          <w:tcPr/>
          <w:p>
            <w:pPr>
              <w:pStyle w:val="Compact"/>
            </w:pPr>
            <w:r>
              <w:t xml:space="preserve">0.98 / 0.24</w:t>
            </w:r>
          </w:p>
        </w:tc>
        <w:tc>
          <w:tcPr/>
          <w:p>
            <w:pPr>
              <w:pStyle w:val="Compact"/>
            </w:pPr>
            <w:r>
              <w:t xml:space="preserve">0.86 / 0.19</w:t>
            </w:r>
          </w:p>
        </w:tc>
        <w:tc>
          <w:tcPr/>
          <w:p>
            <w:pPr>
              <w:pStyle w:val="Compact"/>
            </w:pPr>
            <w:r>
              <w:t xml:space="preserve">–</w:t>
            </w:r>
          </w:p>
        </w:tc>
        <w:tc>
          <w:tcPr/>
          <w:p>
            <w:pPr>
              <w:pStyle w:val="Compact"/>
            </w:pPr>
            <w:r>
              <w:t xml:space="preserve">0.22 / 0.03</w:t>
            </w:r>
          </w:p>
        </w:tc>
        <w:tc>
          <w:tcPr/>
          <w:p>
            <w:pPr>
              <w:pStyle w:val="Compact"/>
            </w:pPr>
            <w:r>
              <w:t xml:space="preserve">0.17 / 0.02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Water level (cm)</w:t>
            </w:r>
          </w:p>
        </w:tc>
        <w:tc>
          <w:tcPr/>
          <w:p>
            <w:pPr>
              <w:pStyle w:val="Compact"/>
            </w:pPr>
            <w:r>
              <w:t xml:space="preserve">Oct 22: +12 / -1 (62%); Mar 23: 0 / -7 (37%)</w:t>
            </w:r>
          </w:p>
        </w:tc>
        <w:tc>
          <w:tcPr/>
          <w:p>
            <w:pPr>
              <w:pStyle w:val="Compact"/>
            </w:pPr>
            <w:r>
              <w:t xml:space="preserve">Oct 22: +29 / +1 (74%); Mar 23: +17 / -5 (55%)</w:t>
            </w:r>
          </w:p>
        </w:tc>
        <w:tc>
          <w:tcPr/>
          <w:p>
            <w:pPr>
              <w:pStyle w:val="Compact"/>
            </w:pPr>
            <w:r>
              <w:t xml:space="preserve">Oct 22: 6 (15); Mar 23: 0 (0)</w:t>
            </w:r>
          </w:p>
        </w:tc>
        <w:tc>
          <w:tcPr/>
          <w:p>
            <w:pPr>
              <w:pStyle w:val="Compact"/>
            </w:pPr>
            <w:r>
              <w:t xml:space="preserve">Oct 22: 11 (23); Mar 23: 9 (24)</w:t>
            </w:r>
          </w:p>
        </w:tc>
        <w:tc>
          <w:tcPr/>
          <w:p>
            <w:pPr>
              <w:pStyle w:val="Compact"/>
            </w:pPr>
            <w:r>
              <w:t xml:space="preserve">Oct 22: 16 (31); Mar 23: 6 (27)</w:t>
            </w:r>
          </w:p>
        </w:tc>
        <w:tc>
          <w:tcPr/>
          <w:p>
            <w:pPr>
              <w:pStyle w:val="Compact"/>
            </w:pPr>
            <w:r>
              <w:t xml:space="preserve">–</w:t>
            </w:r>
          </w:p>
        </w:tc>
        <w:tc>
          <w:tcPr/>
          <w:p>
            <w:pPr>
              <w:pStyle w:val="Compact"/>
            </w:pPr>
            <w:r>
              <w:t xml:space="preserve">Mar 23: 11 (15)</w:t>
            </w:r>
          </w:p>
        </w:tc>
        <w:tc>
          <w:tcPr/>
          <w:p>
            <w:pPr>
              <w:pStyle w:val="Compact"/>
            </w:pPr>
            <w:r>
              <w:t xml:space="preserve">Mar 23: 0 (1)</w:t>
            </w:r>
          </w:p>
        </w:tc>
      </w:tr>
      <w:tr>
        <w:tc>
          <w:tcPr/>
          <w:p>
            <w:pPr>
              <w:pStyle w:val="Compact"/>
            </w:pPr>
            <w:r>
              <w:t xml:space="preserve">Porewater salinity (PSU)</w:t>
            </w:r>
          </w:p>
        </w:tc>
        <w:tc>
          <w:tcPr/>
          <w:p>
            <w:pPr>
              <w:pStyle w:val="Compact"/>
            </w:pPr>
            <w:r>
              <w:t xml:space="preserve">Oct 22: 20; Oct 25: 20</w:t>
            </w:r>
          </w:p>
        </w:tc>
        <w:tc>
          <w:tcPr/>
          <w:p>
            <w:pPr>
              <w:pStyle w:val="Compact"/>
            </w:pPr>
            <w:r>
              <w:t xml:space="preserve">Oct 22: 27; Oct 25: 29</w:t>
            </w:r>
          </w:p>
        </w:tc>
        <w:tc>
          <w:tcPr/>
          <w:p>
            <w:pPr>
              <w:pStyle w:val="Compact"/>
            </w:pPr>
            <w:r>
              <w:t xml:space="preserve">Oct 22: 38; Mar 23: 38; Oct 25: 35</w:t>
            </w:r>
          </w:p>
        </w:tc>
        <w:tc>
          <w:tcPr/>
          <w:p>
            <w:pPr>
              <w:pStyle w:val="Compact"/>
            </w:pPr>
            <w:r>
              <w:t xml:space="preserve">Oct 22: 59; Mar 23: 63; Oct 25: 49</w:t>
            </w:r>
          </w:p>
        </w:tc>
        <w:tc>
          <w:tcPr/>
          <w:p>
            <w:pPr>
              <w:pStyle w:val="Compact"/>
            </w:pPr>
            <w:r>
              <w:t xml:space="preserve">Oct 22: 64; Mar 23: 61</w:t>
            </w:r>
          </w:p>
        </w:tc>
        <w:tc>
          <w:tcPr/>
          <w:p>
            <w:pPr>
              <w:pStyle w:val="Compact"/>
            </w:pPr>
            <w:r>
              <w:t xml:space="preserve">–</w:t>
            </w:r>
          </w:p>
        </w:tc>
        <w:tc>
          <w:tcPr/>
          <w:p>
            <w:pPr>
              <w:pStyle w:val="Compact"/>
            </w:pPr>
            <w:r>
              <w:t xml:space="preserve">Mar 23: 8</w:t>
            </w:r>
          </w:p>
        </w:tc>
        <w:tc>
          <w:tcPr/>
          <w:p>
            <w:pPr>
              <w:pStyle w:val="Compact"/>
            </w:pPr>
            <w:r>
              <w:t xml:space="preserve">–</w:t>
            </w:r>
          </w:p>
        </w:tc>
      </w:tr>
    </w:tbl>
    <w:p>
      <w:pPr>
        <w:pStyle w:val="BodyText"/>
      </w:pPr>
      <w:r>
        <w:rPr>
          <w:b/>
          <w:bCs/>
        </w:rPr>
        <w:t xml:space="preserve">Table S2.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S3. Analysed fluxes by site, campaign and component.</w:t>
      </w:r>
      <w:r>
        <w:t xml:space="preserve"> </w:t>
      </w:r>
      <w:r>
        <w:t xml:space="preserve">The intact water-surface term in October 2022 (SRS5, SRS6), where no floating chamber was deployed, was estimated from dissolved CH4 and CO2 (M8).</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S4.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33.89)</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3.96)</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(-2.29 to -0.34)</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(-3.33 to -1.24)</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(0.40 to 2.11)</w:t>
            </w:r>
          </w:p>
        </w:tc>
        <w:tc>
          <w:tcPr/>
          <w:p>
            <w:pPr>
              <w:pStyle w:val="Compact"/>
            </w:pPr>
            <w:r>
              <w:t xml:space="preserve">2.26 (1.25 to 3.57)</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(0.66 to 14.59)</w:t>
            </w:r>
          </w:p>
        </w:tc>
        <w:tc>
          <w:tcPr/>
          <w:p>
            <w:pPr>
              <w:pStyle w:val="Compact"/>
            </w:pPr>
            <w:r>
              <w:t xml:space="preserve">2.17 (1.16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3.11)</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5.19)</w:t>
            </w:r>
          </w:p>
        </w:tc>
        <w:tc>
          <w:tcPr/>
          <w:p>
            <w:pPr>
              <w:pStyle w:val="Compact"/>
            </w:pPr>
            <w:r>
              <w:t xml:space="preserve">0.54 (0.05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(4.88 to 21.68)</w:t>
            </w:r>
          </w:p>
        </w:tc>
        <w:tc>
          <w:tcPr/>
          <w:p>
            <w:pPr>
              <w:pStyle w:val="Compact"/>
            </w:pPr>
            <w:r>
              <w:t xml:space="preserve">1.49 (0.92 to 2.03)</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2.16)</w:t>
            </w:r>
          </w:p>
        </w:tc>
        <w:tc>
          <w:tcPr/>
          <w:p>
            <w:pPr>
              <w:pStyle w:val="Compact"/>
            </w:pPr>
            <w:r>
              <w:t xml:space="preserve">1.29 (1.04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(5.58 to 20.96)</w:t>
            </w:r>
          </w:p>
        </w:tc>
        <w:tc>
          <w:tcPr/>
          <w:p>
            <w:pPr>
              <w:pStyle w:val="Compact"/>
            </w:pPr>
            <w:r>
              <w:t xml:space="preserve">1.97 (1.09 to 3.01)</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(28.00 to 93.95)</w:t>
            </w:r>
          </w:p>
        </w:tc>
        <w:tc>
          <w:tcPr/>
          <w:p>
            <w:pPr>
              <w:pStyle w:val="Compact"/>
            </w:pPr>
            <w:r>
              <w:t xml:space="preserve">8.70 (6.76 to 10.85)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(4.74 to 10.61)</w:t>
            </w:r>
          </w:p>
        </w:tc>
        <w:tc>
          <w:tcPr/>
          <w:p>
            <w:pPr>
              <w:pStyle w:val="Compact"/>
            </w:pPr>
            <w:r>
              <w:t xml:space="preserve">1.84 (1.43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(8.71 to 30.17)</w:t>
            </w:r>
          </w:p>
        </w:tc>
        <w:tc>
          <w:tcPr/>
          <w:p>
            <w:pPr>
              <w:pStyle w:val="Compact"/>
            </w:pPr>
            <w:r>
              <w:t xml:space="preserve">2.70 (2.22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0.63)</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(0.39 to 2.10)</w:t>
            </w:r>
          </w:p>
        </w:tc>
        <w:tc>
          <w:tcPr/>
          <w:p>
            <w:pPr>
              <w:pStyle w:val="Compact"/>
            </w:pPr>
            <w:r>
              <w:t xml:space="preserve">3.74 (3.15 to 4.35)</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(6.98 to 81.66)</w:t>
            </w:r>
          </w:p>
        </w:tc>
        <w:tc>
          <w:tcPr/>
          <w:p>
            <w:pPr>
              <w:pStyle w:val="Compact"/>
            </w:pPr>
            <w:r>
              <w:t xml:space="preserve">7.33 (5.40 to 9.70)</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0.70)</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(5.35 to 7.44)</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(22.03 to 63.04)</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(0.52 to 1.21)</w:t>
            </w:r>
          </w:p>
        </w:tc>
        <w:tc>
          <w:tcPr/>
          <w:p>
            <w:pPr>
              <w:pStyle w:val="Compact"/>
            </w:pPr>
            <w:r>
              <w:t xml:space="preserve">1.37 (1.16 to 1.59)</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88.92)</w:t>
            </w:r>
          </w:p>
        </w:tc>
        <w:tc>
          <w:tcPr/>
          <w:p>
            <w:pPr>
              <w:pStyle w:val="Compact"/>
            </w:pPr>
            <w:r>
              <w:t xml:space="preserve">2.06 (1.70 to 2.51)</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S5.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977.6</w:t>
            </w:r>
          </w:p>
        </w:tc>
        <w:tc>
          <w:tcPr/>
          <w:p>
            <w:pPr>
              <w:pStyle w:val="Compact"/>
            </w:pPr>
            <w:r>
              <w:t xml:space="preserve">19.6</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11.5</w:t>
            </w:r>
          </w:p>
        </w:tc>
      </w:tr>
      <w:tr>
        <w:tc>
          <w:tcPr/>
          <w:p>
            <w:pPr>
              <w:pStyle w:val="Compact"/>
            </w:pPr>
            <w:r>
              <w:t xml:space="preserve">smooth</w:t>
            </w:r>
          </w:p>
        </w:tc>
        <w:tc>
          <w:tcPr/>
          <w:p>
            <w:pPr>
              <w:pStyle w:val="Compact"/>
            </w:pPr>
            <w:r>
              <w:t xml:space="preserve">990.3</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0.733</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1.042</w:t>
            </w:r>
          </w:p>
        </w:tc>
        <w:tc>
          <w:tcPr/>
          <w:p>
            <w:pPr>
              <w:pStyle w:val="Compact"/>
            </w:pPr>
            <w:r>
              <w:t xml:space="preserve">0.160</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0.144</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-0.081</w:t>
            </w:r>
          </w:p>
        </w:tc>
        <w:tc>
          <w:tcPr/>
          <w:p>
            <w:pPr>
              <w:pStyle w:val="Compact"/>
            </w:pPr>
            <w:r>
              <w:t xml:space="preserve">0.127</w:t>
            </w:r>
          </w:p>
        </w:tc>
        <w:tc>
          <w:tcPr/>
          <w:p>
            <w:pPr>
              <w:pStyle w:val="Compact"/>
            </w:pPr>
            <w:r>
              <w:t xml:space="preserve">0.523</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0.937</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-1.443</w:t>
            </w:r>
          </w:p>
        </w:tc>
        <w:tc>
          <w:tcPr/>
          <w:p>
            <w:pPr>
              <w:pStyle w:val="Compact"/>
            </w:pPr>
            <w:r>
              <w:t xml:space="preserve">0.149</w:t>
            </w:r>
          </w:p>
        </w:tc>
      </w:tr>
      <w:tr>
        <w:tc>
          <w:tcPr/>
          <w:p>
            <w:pPr>
              <w:pStyle w:val="Compact"/>
            </w:pPr>
            <w:r>
              <w:t xml:space="preserve">spCOER</w:t>
            </w:r>
          </w:p>
        </w:tc>
        <w:tc>
          <w:tcPr/>
          <w:p>
            <w:pPr>
              <w:pStyle w:val="Compact"/>
            </w:pPr>
            <w:r>
              <w:t xml:space="preserve">-0.557</w:t>
            </w:r>
          </w:p>
        </w:tc>
        <w:tc>
          <w:tcPr/>
          <w:p>
            <w:pPr>
              <w:pStyle w:val="Compact"/>
            </w:pPr>
            <w:r>
              <w:t xml:space="preserve">0.257</w:t>
            </w:r>
          </w:p>
        </w:tc>
        <w:tc>
          <w:tcPr/>
          <w:p>
            <w:pPr>
              <w:pStyle w:val="Compact"/>
            </w:pPr>
            <w:r>
              <w:t xml:space="preserve">-2.170</w:t>
            </w:r>
          </w:p>
        </w:tc>
        <w:tc>
          <w:tcPr/>
          <w:p>
            <w:pPr>
              <w:pStyle w:val="Compact"/>
            </w:pPr>
            <w:r>
              <w:t xml:space="preserve">0.030</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-1.610</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S6. Airborne end-member fluxes</w:t>
      </w:r>
      <w:r>
        <w:t xml:space="preserve"> </w:t>
      </w:r>
      <w:r>
        <w:t xml:space="preserve">(two-class disaggregation, Delaria et al. 2024) and the airborne check of the ghost-forest inundation representation (text S2).</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70.17</w:t>
            </w:r>
          </w:p>
        </w:tc>
        <w:tc>
          <w:tcPr/>
          <w:p>
            <w:pPr>
              <w:pStyle w:val="Compact"/>
            </w:pPr>
            <w:r>
              <w:t xml:space="preserve">0.26</w:t>
            </w:r>
          </w:p>
        </w:tc>
        <w:tc>
          <w:tcPr/>
          <w:p>
            <w:pPr>
              <w:pStyle w:val="Compact"/>
            </w:pPr>
            <w:r>
              <w:t xml:space="preserve">70.77</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0.03</w:t>
            </w:r>
          </w:p>
        </w:tc>
        <w:tc>
          <w:tcPr/>
          <w:p>
            <w:pPr>
              <w:pStyle w:val="Compact"/>
            </w:pPr>
            <w:r>
              <w:t xml:space="preserve">8.24</w:t>
            </w:r>
          </w:p>
        </w:tc>
        <w:tc>
          <w:tcPr/>
          <w:p>
            <w:pPr>
              <w:pStyle w:val="Compact"/>
            </w:pPr>
            <w:r>
              <w:t xml:space="preserve">5.91</w:t>
            </w:r>
          </w:p>
        </w:tc>
        <w:tc>
          <w:tcPr/>
          <w:p>
            <w:pPr>
              <w:pStyle w:val="Compact"/>
            </w:pPr>
            <w:r>
              <w:t xml:space="preserve">-0.01</w:t>
            </w:r>
          </w:p>
        </w:tc>
        <w:tc>
          <w:tcPr/>
          <w:p>
            <w:pPr>
              <w:pStyle w:val="Compact"/>
            </w:pPr>
            <w:r>
              <w:t xml:space="preserve">14.32</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28.77</w:t>
            </w:r>
          </w:p>
        </w:tc>
        <w:tc>
          <w:tcPr/>
          <w:p>
            <w:pPr>
              <w:pStyle w:val="Compact"/>
            </w:pPr>
            <w:r>
              <w:t xml:space="preserve">0.00</w:t>
            </w:r>
          </w:p>
        </w:tc>
        <w:tc>
          <w:tcPr/>
          <w:p>
            <w:pPr>
              <w:pStyle w:val="Compact"/>
            </w:pPr>
            <w:r>
              <w:t xml:space="preserve">28.93</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8.17</w:t>
            </w:r>
          </w:p>
        </w:tc>
        <w:tc>
          <w:tcPr/>
          <w:p>
            <w:pPr>
              <w:pStyle w:val="Compact"/>
            </w:pPr>
            <w:r>
              <w:t xml:space="preserve">-0.02</w:t>
            </w:r>
          </w:p>
        </w:tc>
        <w:tc>
          <w:tcPr/>
          <w:p>
            <w:pPr>
              <w:pStyle w:val="Compact"/>
            </w:pPr>
            <w:r>
              <w:t xml:space="preserve">16.34</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0.41</w:t>
            </w:r>
          </w:p>
        </w:tc>
        <w:tc>
          <w:tcPr/>
          <w:p>
            <w:pPr>
              <w:pStyle w:val="Compact"/>
            </w:pPr>
            <w:r>
              <w:t xml:space="preserve">0.10</w:t>
            </w:r>
          </w:p>
        </w:tc>
        <w:tc>
          <w:tcPr/>
          <w:p>
            <w:pPr>
              <w:pStyle w:val="Compact"/>
            </w:pPr>
            <w:r>
              <w:t xml:space="preserve">1.41</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0.40</w:t>
            </w:r>
          </w:p>
        </w:tc>
        <w:tc>
          <w:tcPr/>
          <w:p>
            <w:pPr>
              <w:pStyle w:val="Compact"/>
            </w:pPr>
            <w:r>
              <w:t xml:space="preserve">0.28</w:t>
            </w:r>
          </w:p>
        </w:tc>
        <w:tc>
          <w:tcPr/>
          <w:p>
            <w:pPr>
              <w:pStyle w:val="Compact"/>
            </w:pPr>
            <w:r>
              <w:t xml:space="preserve">0.29</w:t>
            </w:r>
          </w:p>
        </w:tc>
        <w:tc>
          <w:tcPr/>
          <w:p>
            <w:pPr>
              <w:pStyle w:val="Compact"/>
            </w:pPr>
            <w:r>
              <w:t xml:space="preserve">0.04</w:t>
            </w:r>
          </w:p>
        </w:tc>
        <w:tc>
          <w:tcPr/>
          <w:p>
            <w:pPr>
              <w:pStyle w:val="Compact"/>
            </w:pPr>
            <w:r>
              <w:t xml:space="preserve">1.06</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5.79</w:t>
            </w:r>
          </w:p>
        </w:tc>
        <w:tc>
          <w:tcPr/>
          <w:p>
            <w:pPr>
              <w:pStyle w:val="Compact"/>
            </w:pPr>
            <w:r>
              <w:t xml:space="preserve">0.60</w:t>
            </w:r>
          </w:p>
        </w:tc>
        <w:tc>
          <w:tcPr/>
          <w:p>
            <w:pPr>
              <w:pStyle w:val="Compact"/>
            </w:pPr>
            <w:r>
              <w:t xml:space="preserve">0.08</w:t>
            </w:r>
          </w:p>
        </w:tc>
        <w:tc>
          <w:tcPr/>
          <w:p>
            <w:pPr>
              <w:pStyle w:val="Compact"/>
            </w:pPr>
            <w:r>
              <w:t xml:space="preserve">10.33</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3.52</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0.36</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0.62</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5.29</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0.27</w:t>
            </w:r>
          </w:p>
        </w:tc>
        <w:tc>
          <w:tcPr/>
          <w:p>
            <w:pPr>
              <w:pStyle w:val="Compact"/>
            </w:pPr>
            <w:r>
              <w:t xml:space="preserve">0.51</w:t>
            </w:r>
          </w:p>
        </w:tc>
        <w:tc>
          <w:tcPr/>
          <w:p>
            <w:pPr>
              <w:pStyle w:val="Compact"/>
            </w:pPr>
            <w:r>
              <w:t xml:space="preserve">2.00</w:t>
            </w:r>
          </w:p>
        </w:tc>
        <w:tc>
          <w:tcPr/>
          <w:p>
            <w:pPr>
              <w:pStyle w:val="Compact"/>
            </w:pPr>
            <w:r>
              <w:t xml:space="preserve">4.52</w:t>
            </w:r>
          </w:p>
        </w:tc>
        <w:tc>
          <w:tcPr/>
          <w:p>
            <w:pPr>
              <w:pStyle w:val="Compact"/>
            </w:pPr>
            <w:r>
              <w:t xml:space="preserve">7.12</w:t>
            </w:r>
          </w:p>
        </w:tc>
        <w:tc>
          <w:tcPr/>
          <w:p>
            <w:pPr>
              <w:pStyle w:val="Compact"/>
            </w:pPr>
            <w:r>
              <w:t xml:space="preserve">-2.60</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0.38</w:t>
            </w:r>
          </w:p>
        </w:tc>
        <w:tc>
          <w:tcPr/>
          <w:p>
            <w:pPr>
              <w:pStyle w:val="Compact"/>
            </w:pPr>
            <w:r>
              <w:t xml:space="preserve">0.34</w:t>
            </w:r>
          </w:p>
        </w:tc>
        <w:tc>
          <w:tcPr/>
          <w:p>
            <w:pPr>
              <w:pStyle w:val="Compact"/>
            </w:pPr>
            <w:r>
              <w:t xml:space="preserve">2.00</w:t>
            </w:r>
          </w:p>
        </w:tc>
        <w:tc>
          <w:tcPr/>
          <w:p>
            <w:pPr>
              <w:pStyle w:val="Compact"/>
            </w:pPr>
            <w:r>
              <w:t xml:space="preserve">5.11</w:t>
            </w:r>
          </w:p>
        </w:tc>
        <w:tc>
          <w:tcPr/>
          <w:p>
            <w:pPr>
              <w:pStyle w:val="Compact"/>
            </w:pPr>
            <w:r>
              <w:t xml:space="preserve">7.12</w:t>
            </w:r>
          </w:p>
        </w:tc>
        <w:tc>
          <w:tcPr/>
          <w:p>
            <w:pPr>
              <w:pStyle w:val="Compact"/>
            </w:pPr>
            <w:r>
              <w:t xml:space="preserve">-2.01</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50.73 (25.74 to 86.19)</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20.79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(0.31 to 1.17)</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(0.88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0.48 (0.24 to 3.08)</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15.56 (0.87 to 43.55)</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15.94 (7.93 to 28.71)</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0.59 (0.30 to 3.79)</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0.84 (0.64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5.30 (4.13 to 6.59)</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7.27 (5.91 to 8.87)</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1.23 (0.40 to 2.70)</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(0.11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0.70 (0.09 to 1.63)</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3.55 (2.23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0.62)</w:t>
            </w:r>
          </w:p>
        </w:tc>
        <w:tc>
          <w:tcPr/>
          <w:p>
            <w:pPr>
              <w:pStyle w:val="Compact"/>
            </w:pPr>
            <w:r>
              <w:t xml:space="preserve">5</w:t>
            </w:r>
          </w:p>
        </w:tc>
        <w:tc>
          <w:tcPr/>
          <w:p>
            <w:pPr>
              <w:pStyle w:val="Compact"/>
            </w:pPr>
            <w:r>
              <w:t xml:space="preserve">site</w:t>
            </w:r>
          </w:p>
        </w:tc>
      </w:tr>
    </w:tbl>
    <w:p>
      <w:pPr>
        <w:pStyle w:val="BodyText"/>
      </w:pPr>
      <w:r>
        <w:rPr>
          <w:b/>
          <w:bCs/>
        </w:rPr>
        <w:t xml:space="preserve">Table S8.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1.49</w:t>
            </w:r>
          </w:p>
        </w:tc>
        <w:tc>
          <w:tcPr/>
          <w:p>
            <w:pPr>
              <w:pStyle w:val="Compact"/>
            </w:pPr>
            <w:r>
              <w:t xml:space="preserve">-3 756</w:t>
            </w:r>
          </w:p>
        </w:tc>
        <w:tc>
          <w:tcPr/>
          <w:p>
            <w:pPr>
              <w:pStyle w:val="Compact"/>
            </w:pPr>
            <w:r>
              <w:t xml:space="preserve">-3 635</w:t>
            </w:r>
          </w:p>
        </w:tc>
        <w:tc>
          <w:tcPr/>
          <w:p>
            <w:pPr>
              <w:pStyle w:val="Compact"/>
            </w:pPr>
            <w:r>
              <w:t xml:space="preserve">-5 214 to -1 918</w:t>
            </w:r>
          </w:p>
        </w:tc>
        <w:tc>
          <w:tcPr/>
          <w:p>
            <w:pPr>
              <w:pStyle w:val="Compact"/>
            </w:pPr>
            <w:r>
              <w:t xml:space="preserve">-3 715</w:t>
            </w:r>
          </w:p>
        </w:tc>
        <w:tc>
          <w:tcPr/>
          <w:p>
            <w:pPr>
              <w:pStyle w:val="Compact"/>
            </w:pPr>
            <w:r>
              <w:t xml:space="preserve">-5 291 to -2 012</w:t>
            </w:r>
          </w:p>
        </w:tc>
        <w:tc>
          <w:tcPr/>
          <w:p>
            <w:pPr>
              <w:pStyle w:val="Compact"/>
            </w:pPr>
            <w:r>
              <w:t xml:space="preserve">-3 744</w:t>
            </w:r>
          </w:p>
        </w:tc>
        <w:tc>
          <w:tcPr/>
          <w:p>
            <w:pPr>
              <w:pStyle w:val="Compact"/>
            </w:pPr>
            <w:r>
              <w:t xml:space="preserve">3.1%</w:t>
            </w:r>
          </w:p>
        </w:tc>
      </w:tr>
      <w:tr>
        <w:tc>
          <w:tcPr/>
          <w:p>
            <w:pPr>
              <w:pStyle w:val="Compact"/>
            </w:pPr>
            <w:r>
              <w:t xml:space="preserve">ghost</w:t>
            </w:r>
          </w:p>
        </w:tc>
        <w:tc>
          <w:tcPr/>
          <w:p>
            <w:pPr>
              <w:pStyle w:val="Compact"/>
            </w:pPr>
            <w:r>
              <w:t xml:space="preserve">11.90</w:t>
            </w:r>
          </w:p>
        </w:tc>
        <w:tc>
          <w:tcPr/>
          <w:p>
            <w:pPr>
              <w:pStyle w:val="Compact"/>
            </w:pPr>
            <w:r>
              <w:t xml:space="preserve">1 810</w:t>
            </w:r>
          </w:p>
        </w:tc>
        <w:tc>
          <w:tcPr/>
          <w:p>
            <w:pPr>
              <w:pStyle w:val="Compact"/>
            </w:pPr>
            <w:r>
              <w:t xml:space="preserve">2 776</w:t>
            </w:r>
          </w:p>
        </w:tc>
        <w:tc>
          <w:tcPr/>
          <w:p>
            <w:pPr>
              <w:pStyle w:val="Compact"/>
            </w:pPr>
            <w:r>
              <w:t xml:space="preserve">1 931 to 3 977</w:t>
            </w:r>
          </w:p>
        </w:tc>
        <w:tc>
          <w:tcPr/>
          <w:p>
            <w:pPr>
              <w:pStyle w:val="Compact"/>
            </w:pPr>
            <w:r>
              <w:t xml:space="preserve">2 142</w:t>
            </w:r>
          </w:p>
        </w:tc>
        <w:tc>
          <w:tcPr/>
          <w:p>
            <w:pPr>
              <w:pStyle w:val="Compact"/>
            </w:pPr>
            <w:r>
              <w:t xml:space="preserve">1 505 to 3 266</w:t>
            </w:r>
          </w:p>
        </w:tc>
        <w:tc>
          <w:tcPr/>
          <w:p>
            <w:pPr>
              <w:pStyle w:val="Compact"/>
            </w:pPr>
            <w:r>
              <w:t xml:space="preserve">3 137</w:t>
            </w:r>
          </w:p>
        </w:tc>
        <w:tc>
          <w:tcPr/>
          <w:p>
            <w:pPr>
              <w:pStyle w:val="Compact"/>
            </w:pPr>
            <w:r>
              <w:t xml:space="preserve">34.8%</w:t>
            </w:r>
          </w:p>
        </w:tc>
      </w:tr>
    </w:tbl>
    <w:p>
      <w:pPr>
        <w:pStyle w:val="BodyText"/>
      </w:pPr>
      <w:r>
        <w:rPr>
          <w:b/>
          <w:bCs/>
        </w:rPr>
        <w:t xml:space="preserve">Table S9.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S3).</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S3)</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S2;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S5)</w:t>
            </w:r>
          </w:p>
        </w:tc>
      </w:tr>
    </w:tbl>
    <w:p>
      <w:pPr>
        <w:pStyle w:val="BodyText"/>
      </w:pPr>
      <w:r>
        <w:rPr>
          <w:b/>
          <w:bCs/>
        </w:rPr>
        <w:t xml:space="preserve">Table S10.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2,776 [2,142]</w:t>
            </w:r>
          </w:p>
        </w:tc>
        <w:tc>
          <w:tcPr/>
          <w:p>
            <w:pPr>
              <w:pStyle w:val="Compact"/>
            </w:pPr>
            <w:r>
              <w:t xml:space="preserve">6,411 [5,856]</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6,912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3,183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2,776 [2,142]</w:t>
            </w:r>
          </w:p>
        </w:tc>
        <w:tc>
          <w:tcPr/>
          <w:p>
            <w:pPr>
              <w:pStyle w:val="Compact"/>
            </w:pPr>
            <w:r>
              <w:t xml:space="preserve">6,037 [5,509]</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2,776 [2,142]</w:t>
            </w:r>
          </w:p>
        </w:tc>
        <w:tc>
          <w:tcPr/>
          <w:p>
            <w:pPr>
              <w:pStyle w:val="Compact"/>
            </w:pPr>
            <w:r>
              <w:t xml:space="preserve">7,090 [6,505]</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2,776 [2,142]</w:t>
            </w:r>
          </w:p>
        </w:tc>
        <w:tc>
          <w:tcPr/>
          <w:p>
            <w:pPr>
              <w:pStyle w:val="Compact"/>
            </w:pPr>
            <w:r>
              <w:t xml:space="preserve">6,179 [5,648]</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2,776 [2,142]</w:t>
            </w:r>
          </w:p>
        </w:tc>
        <w:tc>
          <w:tcPr/>
          <w:p>
            <w:pPr>
              <w:pStyle w:val="Compact"/>
            </w:pPr>
            <w:r>
              <w:t xml:space="preserve">6,239 [5,693]</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2,776 [2,142]</w:t>
            </w:r>
          </w:p>
        </w:tc>
        <w:tc>
          <w:tcPr/>
          <w:p>
            <w:pPr>
              <w:pStyle w:val="Compact"/>
            </w:pPr>
            <w:r>
              <w:t xml:space="preserve">6,569 [6,006]</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2,776 [2,142]</w:t>
            </w:r>
          </w:p>
        </w:tc>
        <w:tc>
          <w:tcPr/>
          <w:p>
            <w:pPr>
              <w:pStyle w:val="Compact"/>
            </w:pPr>
            <w:r>
              <w:t xml:space="preserve">5,830 [5,311]</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−3,642 [−3,717]</w:t>
            </w:r>
          </w:p>
        </w:tc>
        <w:tc>
          <w:tcPr/>
          <w:p>
            <w:pPr>
              <w:pStyle w:val="Compact"/>
            </w:pPr>
            <w:r>
              <w:t xml:space="preserve">2,776 [2,142]</w:t>
            </w:r>
          </w:p>
        </w:tc>
        <w:tc>
          <w:tcPr/>
          <w:p>
            <w:pPr>
              <w:pStyle w:val="Compact"/>
            </w:pPr>
            <w:r>
              <w:t xml:space="preserve">6,418 [5,859]</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−3,618 [−3,709]</w:t>
            </w:r>
          </w:p>
        </w:tc>
        <w:tc>
          <w:tcPr/>
          <w:p>
            <w:pPr>
              <w:pStyle w:val="Compact"/>
            </w:pPr>
            <w:r>
              <w:t xml:space="preserve">2,776 [2,142]</w:t>
            </w:r>
          </w:p>
        </w:tc>
        <w:tc>
          <w:tcPr/>
          <w:p>
            <w:pPr>
              <w:pStyle w:val="Compact"/>
            </w:pPr>
            <w:r>
              <w:t xml:space="preserve">6,394 [5,850]</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−3,598 [−3,702]</w:t>
            </w:r>
          </w:p>
        </w:tc>
        <w:tc>
          <w:tcPr/>
          <w:p>
            <w:pPr>
              <w:pStyle w:val="Compact"/>
            </w:pPr>
            <w:r>
              <w:t xml:space="preserve">3,069 [2,243]</w:t>
            </w:r>
          </w:p>
        </w:tc>
        <w:tc>
          <w:tcPr/>
          <w:p>
            <w:pPr>
              <w:pStyle w:val="Compact"/>
            </w:pPr>
            <w:r>
              <w:t xml:space="preserve">6,668 [5,945]</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2,460 [1,899]</w:t>
            </w:r>
          </w:p>
        </w:tc>
        <w:tc>
          <w:tcPr/>
          <w:p>
            <w:pPr>
              <w:pStyle w:val="Compact"/>
            </w:pPr>
            <w:r>
              <w:t xml:space="preserve">6,095 [5,613]</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2,562 [1,977]</w:t>
            </w:r>
          </w:p>
        </w:tc>
        <w:tc>
          <w:tcPr/>
          <w:p>
            <w:pPr>
              <w:pStyle w:val="Compact"/>
            </w:pPr>
            <w:r>
              <w:t xml:space="preserve">6,197 [5,691]</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3,356 [2,699]</w:t>
            </w:r>
          </w:p>
        </w:tc>
        <w:tc>
          <w:tcPr/>
          <w:p>
            <w:pPr>
              <w:pStyle w:val="Compact"/>
            </w:pPr>
            <w:r>
              <w:t xml:space="preserve">6,991 [6,414]</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2,401 [1,830]</w:t>
            </w:r>
          </w:p>
        </w:tc>
        <w:tc>
          <w:tcPr/>
          <w:p>
            <w:pPr>
              <w:pStyle w:val="Compact"/>
            </w:pPr>
            <w:r>
              <w:t xml:space="preserve">6,036 [5,544]</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3,138 [2,457]</w:t>
            </w:r>
          </w:p>
        </w:tc>
        <w:tc>
          <w:tcPr/>
          <w:p>
            <w:pPr>
              <w:pStyle w:val="Compact"/>
            </w:pPr>
            <w:r>
              <w:t xml:space="preserve">6,773 [6,171]</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2,476 [1,946]</w:t>
            </w:r>
          </w:p>
        </w:tc>
        <w:tc>
          <w:tcPr/>
          <w:p>
            <w:pPr>
              <w:pStyle w:val="Compact"/>
            </w:pPr>
            <w:r>
              <w:t xml:space="preserve">6,111 [5,661]</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2,689 [2,111]</w:t>
            </w:r>
          </w:p>
        </w:tc>
        <w:tc>
          <w:tcPr/>
          <w:p>
            <w:pPr>
              <w:pStyle w:val="Compact"/>
            </w:pPr>
            <w:r>
              <w:t xml:space="preserve">6,325 [5,825]</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4,362 [3,633]</w:t>
            </w:r>
          </w:p>
        </w:tc>
        <w:tc>
          <w:tcPr/>
          <w:p>
            <w:pPr>
              <w:pStyle w:val="Compact"/>
            </w:pPr>
            <w:r>
              <w:t xml:space="preserve">7,997 [7,347]</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−1,204</w:t>
            </w:r>
          </w:p>
        </w:tc>
        <w:tc>
          <w:tcPr/>
          <w:p>
            <w:pPr>
              <w:pStyle w:val="Compact"/>
            </w:pPr>
            <w:r>
              <w:t xml:space="preserve">−4,288 [−4,368]</w:t>
            </w:r>
          </w:p>
        </w:tc>
        <w:tc>
          <w:tcPr/>
          <w:p>
            <w:pPr>
              <w:pStyle w:val="Compact"/>
            </w:pPr>
            <w:r>
              <w:t xml:space="preserve">2,776 [2,142]</w:t>
            </w:r>
          </w:p>
        </w:tc>
        <w:tc>
          <w:tcPr/>
          <w:p>
            <w:pPr>
              <w:pStyle w:val="Compact"/>
            </w:pPr>
            <w:r>
              <w:t xml:space="preserve">7,064 [6,509]</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−812</w:t>
            </w:r>
          </w:p>
        </w:tc>
        <w:tc>
          <w:tcPr/>
          <w:p>
            <w:pPr>
              <w:pStyle w:val="Compact"/>
            </w:pPr>
            <w:r>
              <w:t xml:space="preserve">−2,852 [−2,932]</w:t>
            </w:r>
          </w:p>
        </w:tc>
        <w:tc>
          <w:tcPr/>
          <w:p>
            <w:pPr>
              <w:pStyle w:val="Compact"/>
            </w:pPr>
            <w:r>
              <w:t xml:space="preserve">2,776 [2,142]</w:t>
            </w:r>
          </w:p>
        </w:tc>
        <w:tc>
          <w:tcPr/>
          <w:p>
            <w:pPr>
              <w:pStyle w:val="Compact"/>
            </w:pPr>
            <w:r>
              <w:t xml:space="preserve">5,628 [5,074]</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−2,711 [−2,815]</w:t>
            </w:r>
          </w:p>
        </w:tc>
        <w:tc>
          <w:tcPr/>
          <w:p>
            <w:pPr>
              <w:pStyle w:val="Compact"/>
            </w:pPr>
            <w:r>
              <w:t xml:space="preserve">2,776 [2,142]</w:t>
            </w:r>
          </w:p>
        </w:tc>
        <w:tc>
          <w:tcPr/>
          <w:p>
            <w:pPr>
              <w:pStyle w:val="Compact"/>
            </w:pPr>
            <w:r>
              <w:t xml:space="preserve">5,487 [4,957]</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−2,329 [−2,434]</w:t>
            </w:r>
          </w:p>
        </w:tc>
        <w:tc>
          <w:tcPr/>
          <w:p>
            <w:pPr>
              <w:pStyle w:val="Compact"/>
            </w:pPr>
            <w:r>
              <w:t xml:space="preserve">2,776 [2,142]</w:t>
            </w:r>
          </w:p>
        </w:tc>
        <w:tc>
          <w:tcPr/>
          <w:p>
            <w:pPr>
              <w:pStyle w:val="Compact"/>
            </w:pPr>
            <w:r>
              <w:t xml:space="preserve">5,105 [4,576]</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2,776 [2,142]</w:t>
            </w:r>
          </w:p>
        </w:tc>
        <w:tc>
          <w:tcPr/>
          <w:p>
            <w:pPr>
              <w:pStyle w:val="Compact"/>
            </w:pPr>
            <w:r>
              <w:t xml:space="preserve">3,586 [3,031]</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−5214 to −1918 [−5291 to −2012]</w:t>
            </w:r>
          </w:p>
        </w:tc>
        <w:tc>
          <w:tcPr/>
          <w:p>
            <w:pPr>
              <w:pStyle w:val="Compact"/>
            </w:pPr>
            <w:r>
              <w:t xml:space="preserve">1931 to 3977 [1505 to 3266]</w:t>
            </w:r>
          </w:p>
        </w:tc>
        <w:tc>
          <w:tcPr/>
          <w:p>
            <w:pPr>
              <w:pStyle w:val="Compact"/>
            </w:pPr>
            <w:r>
              <w:t xml:space="preserve">–</w:t>
            </w:r>
          </w:p>
        </w:tc>
      </w:tr>
    </w:tbl>
    <w:p>
      <w:pPr>
        <w:pStyle w:val="BodyText"/>
      </w:pPr>
      <w:r>
        <w:rPr>
          <w:b/>
          <w:bCs/>
        </w:rPr>
        <w:t xml:space="preserve">Table S11.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S12. Component CH4 rates at all sites, campaigns pooled</w:t>
      </w:r>
      <w:r>
        <w:t xml:space="preserve"> </w:t>
      </w:r>
      <w:r>
        <w:t xml:space="preserve">(nmol m−2 s−1 per m2 of surface; 95% CI; context sites MI, RB10, SE1 alongside the core sites; text S8).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5.73 (2.78 to 8.29)</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55.63 (27.01 to 90.45)</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14.18 (3.36 to 32.02)</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56.85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(-0.06 to 6.25)</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14.13 (7.55 to 22.68)</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21.34 (8.94 to 38.90)</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30.78 (12.93 to 56.13)</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11.14 (5.94 to 18.72)</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10.65 (7.36 to 15.17)</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(2.10 to 3.04)</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0.93)</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1.05 (0.50 to 1.68)</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3.23 (1.27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(0.13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1.70)</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0.88)</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(0.67 to 25.00)</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11.81 (6.17 to 20.33)</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0.45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pPr>
        <w:pStyle w:val="BodyText"/>
      </w:pPr>
      <w:r>
        <w:rPr>
          <w:b/>
          <w:bCs/>
        </w:rPr>
        <w:t xml:space="preserve">Table S13.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S14.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0.667 (0.400 to 0.956)</w:t>
            </w:r>
          </w:p>
        </w:tc>
        <w:tc>
          <w:tcPr/>
          <w:p>
            <w:pPr>
              <w:pStyle w:val="Compact"/>
            </w:pPr>
            <w:r>
              <w:t xml:space="preserve">0.609</w:t>
            </w:r>
          </w:p>
        </w:tc>
        <w:tc>
          <w:tcPr/>
          <w:p>
            <w:pPr>
              <w:pStyle w:val="Compact"/>
            </w:pPr>
            <w:r>
              <w:t xml:space="preserve">0.716</w:t>
            </w:r>
          </w:p>
        </w:tc>
        <w:tc>
          <w:tcPr/>
          <w:p>
            <w:pPr>
              <w:pStyle w:val="Compact"/>
            </w:pPr>
            <w:r>
              <w:t xml:space="preserve">1.082 (0.335 to 1.829)</w:t>
            </w:r>
          </w:p>
        </w:tc>
      </w:tr>
      <w:tr>
        <w:tc>
          <w:tcPr/>
          <w:p>
            <w:pPr>
              <w:pStyle w:val="Compact"/>
            </w:pPr>
            <w:r>
              <w:t xml:space="preserve">United States</w:t>
            </w:r>
          </w:p>
        </w:tc>
        <w:tc>
          <w:tcPr/>
          <w:p>
            <w:pPr>
              <w:pStyle w:val="Compact"/>
            </w:pPr>
            <w:r>
              <w:t xml:space="preserve">60.09</w:t>
            </w:r>
          </w:p>
        </w:tc>
        <w:tc>
          <w:tcPr/>
          <w:p>
            <w:pPr>
              <w:pStyle w:val="Compact"/>
            </w:pPr>
            <w:r>
              <w:t xml:space="preserve">0.385 (0.231 to 0.552)</w:t>
            </w:r>
          </w:p>
        </w:tc>
        <w:tc>
          <w:tcPr/>
          <w:p>
            <w:pPr>
              <w:pStyle w:val="Compact"/>
            </w:pPr>
            <w:r>
              <w:t xml:space="preserve">0.352</w:t>
            </w:r>
          </w:p>
        </w:tc>
        <w:tc>
          <w:tcPr/>
          <w:p>
            <w:pPr>
              <w:pStyle w:val="Compact"/>
            </w:pPr>
            <w:r>
              <w:t xml:space="preserve">0.413</w:t>
            </w:r>
          </w:p>
        </w:tc>
        <w:tc>
          <w:tcPr/>
          <w:p>
            <w:pPr>
              <w:pStyle w:val="Compact"/>
            </w:pPr>
            <w:r>
              <w:t xml:space="preserve">0.625 (0.193 to 1.057)</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0.095)</w:t>
            </w:r>
          </w:p>
        </w:tc>
      </w:tr>
      <w:tr>
        <w:tc>
          <w:tcPr/>
          <w:p>
            <w:pPr>
              <w:pStyle w:val="Compact"/>
            </w:pPr>
            <w:r>
              <w:t xml:space="preserve">Venezuela</w:t>
            </w:r>
          </w:p>
        </w:tc>
        <w:tc>
          <w:tcPr/>
          <w:p>
            <w:pPr>
              <w:pStyle w:val="Compact"/>
            </w:pPr>
            <w:r>
              <w:t xml:space="preserve">2.51</w:t>
            </w:r>
          </w:p>
        </w:tc>
        <w:tc>
          <w:tcPr/>
          <w:p>
            <w:pPr>
              <w:pStyle w:val="Compact"/>
            </w:pPr>
            <w:r>
              <w:t xml:space="preserve">0.016 (0.010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1.112 (0.667 to 1.594)</w:t>
            </w:r>
          </w:p>
        </w:tc>
        <w:tc>
          <w:tcPr/>
          <w:p>
            <w:pPr>
              <w:pStyle w:val="Compact"/>
            </w:pPr>
            <w:r>
              <w:t xml:space="preserve">1.016</w:t>
            </w:r>
          </w:p>
        </w:tc>
        <w:tc>
          <w:tcPr/>
          <w:p>
            <w:pPr>
              <w:pStyle w:val="Compact"/>
            </w:pPr>
            <w:r>
              <w:t xml:space="preserve">1.193</w:t>
            </w:r>
          </w:p>
        </w:tc>
        <w:tc>
          <w:tcPr/>
          <w:p>
            <w:pPr>
              <w:pStyle w:val="Compact"/>
            </w:pPr>
            <w:r>
              <w:t xml:space="preserve">1.805 (0.558 to 3.049)</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1.06 (0.64 to 1.52)</w:t>
            </w:r>
          </w:p>
        </w:tc>
        <w:tc>
          <w:tcPr/>
          <w:p>
            <w:pPr>
              <w:pStyle w:val="Compact"/>
            </w:pPr>
            <w:r>
              <w:t xml:space="preserve">0.97</w:t>
            </w:r>
          </w:p>
        </w:tc>
        <w:tc>
          <w:tcPr/>
          <w:p>
            <w:pPr>
              <w:pStyle w:val="Compact"/>
            </w:pPr>
            <w:r>
              <w:t xml:space="preserve">1.72 (0.53 to 2.90)</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1.36 (0.82 to 1.95)</w:t>
            </w:r>
          </w:p>
        </w:tc>
        <w:tc>
          <w:tcPr/>
          <w:p>
            <w:pPr>
              <w:pStyle w:val="Compact"/>
            </w:pPr>
            <w:r>
              <w:t xml:space="preserve">1.25</w:t>
            </w:r>
          </w:p>
        </w:tc>
        <w:tc>
          <w:tcPr/>
          <w:p>
            <w:pPr>
              <w:pStyle w:val="Compact"/>
            </w:pPr>
            <w:r>
              <w:t xml:space="preserve">2.21 (0.68 to 3.74)</w:t>
            </w:r>
          </w:p>
        </w:tc>
      </w:tr>
    </w:tbl>
    <w:p>
      <w:pPr>
        <w:pStyle w:val="BodyText"/>
      </w:pPr>
      <w:r>
        <w:rPr>
          <w:b/>
          <w:bCs/>
        </w:rPr>
        <w:t xml:space="preserve">Table S15.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r>
        <w:pict>
          <v:rect style="width:0;height:1.5pt" o:hralign="center" o:hrstd="t" o:hr="t"/>
        </w:pict>
      </w:r>
    </w:p>
    <w:bookmarkEnd w:id="99"/>
    <w:bookmarkStart w:id="100"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Fuentes, J., Malone, S. &amp; Troxler, T. AmeriFlux BASE US-Skr Shark River Slough (Tower SRS-6) Everglades, Ver. 2-5. AmeriFlux AMP (dataset) (2024). https://doi.org/10.17190/AMF/1246105</w:t>
            </w:r>
          </w:p>
        </w:tc>
        <w:tc>
          <w:tcPr/>
          <w:p>
            <w:pPr>
              <w:pStyle w:val="Compact"/>
            </w:pPr>
            <w:r>
              <w:t xml:space="preserve">Tower NEE, GPP partitioning, air temperature and pressure for chamber fluxes, Q10</w:t>
            </w:r>
          </w:p>
        </w:tc>
      </w:tr>
      <w:tr>
        <w:tc>
          <w:tcPr/>
          <w:p>
            <w:pPr>
              <w:pStyle w:val="Compact"/>
            </w:pPr>
            <w:r>
              <w:t xml:space="preserve">Castañeda-Moya, E., Kominoski, J., Rivera-Monroy, V., Rizzie, C. &amp; Reisa, C. Water levels and porewater temperature data from the Shark River and Taylor River Slough mangrove sites, Everglades National Park (FCE LTER), South Florida, USA: May 2001 – ongoing. Environmental Data Initiative, knb-lter-fce.1168.15 (2025). https://doi.org/10.6073/pasta/9fd1d290fbe0753e76be1f748c4e9dab</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Mangrove litterfall from the Shark River Slough and Taylor Slough, Everglades National Park (FCE), South Florida, USA, January 2001 – ongoing. Environmental Data Initiative, knb-lter-fce.1195.14 (2026). https://doi.org/10.6073/pasta/1cf9dbd75f5d75c4514673eee55b79ec</w:t>
            </w:r>
          </w:p>
        </w:tc>
        <w:tc>
          <w:tcPr/>
          <w:p>
            <w:pPr>
              <w:pStyle w:val="Compact"/>
            </w:pPr>
            <w:r>
              <w:t xml:space="preserve">Woody litterfall context for downed wood (text S3)</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Wolfe, G. M., Hannun, R. A., Blanock, K., Poulter, B. &amp; Thornhill, K. L. BlueFlux airborne trace gases, fluxes, and mixing ratios, southern Florida, 2022–2023 (Version 1). ORNL DAAC (2024). https://doi.org/10.3334/ORNLDAAC/2327</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whether these match the public archive, Taillie 2020, PANGAEA, https://doi.org/10.1594/PANGAEA.911864]</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Vaughn, D. &amp; Raymond, P. BlueFlux: Dissolved carbon and greenhouse gases (Version 1). ORNL DAAC (2024). https://doi.org/10.3334/ORNLDAAC/2333</w:t>
            </w:r>
          </w:p>
        </w:tc>
        <w:tc>
          <w:tcPr/>
          <w:p>
            <w:pPr>
              <w:pStyle w:val="Compact"/>
            </w:pPr>
            <w:r>
              <w:t xml:space="preserve">Dissolved gas at SRS6 for the October 2022 water-surface flux (M8)</w:t>
            </w:r>
          </w:p>
        </w:tc>
      </w:tr>
    </w:tbl>
    <w:p>
      <w:r>
        <w:pict>
          <v:rect style="width:0;height:1.5pt" o:hralign="center" o:hrstd="t" o:hr="t"/>
        </w:pict>
      </w:r>
    </w:p>
    <w:bookmarkEnd w:id="100"/>
    <w:bookmarkStart w:id="101" w:name="references"/>
    <w:p>
      <w:pPr>
        <w:pStyle w:val="Heading1"/>
      </w:pPr>
      <w:r>
        <w:t xml:space="preserve">References</w:t>
      </w:r>
    </w:p>
    <w:p>
      <w:pPr>
        <w:pStyle w:val="Compact"/>
        <w:numPr>
          <w:ilvl w:val="0"/>
          <w:numId w:val="1009"/>
        </w:numPr>
      </w:pPr>
      <w:r>
        <w:t xml:space="preserve">M. R. Allen et al., A solution to the misrepresentations of CO2-equivalent emissions of short-lived climate pollutants under ambitious mitigation.</w:t>
      </w:r>
      <w:r>
        <w:t xml:space="preserve"> </w:t>
      </w:r>
      <w:r>
        <w:rPr>
          <w:i/>
          <w:iCs/>
        </w:rPr>
        <w:t xml:space="preserve">npj Clim. Atmos. Sci.</w:t>
      </w:r>
      <w:r>
        <w:t xml:space="preserve"> </w:t>
      </w:r>
      <w:r>
        <w:rPr>
          <w:b/>
          <w:bCs/>
        </w:rPr>
        <w:t xml:space="preserve">1</w:t>
      </w:r>
      <w:r>
        <w:t xml:space="preserve">, 16 (2018).</w:t>
      </w:r>
    </w:p>
    <w:p>
      <w:pPr>
        <w:pStyle w:val="Compact"/>
        <w:numPr>
          <w:ilvl w:val="0"/>
          <w:numId w:val="1009"/>
        </w:numPr>
      </w:pPr>
      <w:r>
        <w:t xml:space="preserve">O. K. Atkin, P. Meir, M. H. Turnbull, Improving representation of leaf respiration in large-scale predictive climate–vegetation models.</w:t>
      </w:r>
      <w:r>
        <w:t xml:space="preserve"> </w:t>
      </w:r>
      <w:r>
        <w:rPr>
          <w:i/>
          <w:iCs/>
        </w:rPr>
        <w:t xml:space="preserve">New Phytol.</w:t>
      </w:r>
      <w:r>
        <w:t xml:space="preserve"> </w:t>
      </w:r>
      <w:r>
        <w:rPr>
          <w:b/>
          <w:bCs/>
        </w:rPr>
        <w:t xml:space="preserve">202</w:t>
      </w:r>
      <w:r>
        <w:t xml:space="preserve">, 743–748 (2014).</w:t>
      </w:r>
    </w:p>
    <w:p>
      <w:pPr>
        <w:pStyle w:val="Compact"/>
        <w:numPr>
          <w:ilvl w:val="0"/>
          <w:numId w:val="1009"/>
        </w:numPr>
      </w:pPr>
      <w:r>
        <w:t xml:space="preserve">J. G. Barr, J. D. Fuentes, V. Engel, J. C. Zieman, Physiological responses of red mangroves to the climate in the Florida Everglades.</w:t>
      </w:r>
      <w:r>
        <w:t xml:space="preserve"> </w:t>
      </w:r>
      <w:r>
        <w:rPr>
          <w:i/>
          <w:iCs/>
        </w:rPr>
        <w:t xml:space="preserve">J. Geophys. Res. Biogeosci.</w:t>
      </w:r>
      <w:r>
        <w:t xml:space="preserve"> </w:t>
      </w:r>
      <w:r>
        <w:rPr>
          <w:b/>
          <w:bCs/>
        </w:rPr>
        <w:t xml:space="preserve">114</w:t>
      </w:r>
      <w:r>
        <w:t xml:space="preserve">, G02008 (2009).</w:t>
      </w:r>
    </w:p>
    <w:p>
      <w:pPr>
        <w:pStyle w:val="Compact"/>
        <w:numPr>
          <w:ilvl w:val="0"/>
          <w:numId w:val="1009"/>
        </w:numPr>
      </w:pPr>
      <w:r>
        <w:t xml:space="preserve">S. Bouillon et al., Importance of intertidal sediment processes and porewater exchange on the water column biogeochemistry in a pristine mangrove creek (Ras Dege, Tanzania).</w:t>
      </w:r>
      <w:r>
        <w:t xml:space="preserve"> </w:t>
      </w:r>
      <w:r>
        <w:rPr>
          <w:i/>
          <w:iCs/>
        </w:rPr>
        <w:t xml:space="preserve">Biogeosciences</w:t>
      </w:r>
      <w:r>
        <w:t xml:space="preserve"> </w:t>
      </w:r>
      <w:r>
        <w:rPr>
          <w:b/>
          <w:bCs/>
        </w:rPr>
        <w:t xml:space="preserve">4</w:t>
      </w:r>
      <w:r>
        <w:t xml:space="preserve">, 311–322 (2007).</w:t>
      </w:r>
    </w:p>
    <w:p>
      <w:pPr>
        <w:pStyle w:val="Compact"/>
        <w:numPr>
          <w:ilvl w:val="0"/>
          <w:numId w:val="1009"/>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9"/>
        </w:numPr>
      </w:pPr>
      <w:r>
        <w:t xml:space="preserve">A. Cabezas et al., Methane emissions from mangrove soils in hydrologically disturbed and reference mangrove tidal creeks in southwest Florida.</w:t>
      </w:r>
      <w:r>
        <w:t xml:space="preserve"> </w:t>
      </w:r>
      <w:r>
        <w:rPr>
          <w:i/>
          <w:iCs/>
        </w:rPr>
        <w:t xml:space="preserve">Ecol. Eng.</w:t>
      </w:r>
      <w:r>
        <w:t xml:space="preserve"> </w:t>
      </w:r>
      <w:r>
        <w:rPr>
          <w:b/>
          <w:bCs/>
        </w:rPr>
        <w:t xml:space="preserve">114</w:t>
      </w:r>
      <w:r>
        <w:t xml:space="preserve">, 57–65 (2018).</w:t>
      </w:r>
    </w:p>
    <w:p>
      <w:pPr>
        <w:pStyle w:val="Compact"/>
        <w:numPr>
          <w:ilvl w:val="0"/>
          <w:numId w:val="1009"/>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9"/>
        </w:numPr>
      </w:pPr>
      <w:r>
        <w:t xml:space="preserve">E. Castañeda-Moya, R. R. Twilley, V. H. Rivera-Monroy, Allocation of biomass and net primary productivity of mangrove forests along environmental gradients in the Florida Coastal Everglades, USA.</w:t>
      </w:r>
      <w:r>
        <w:t xml:space="preserve"> </w:t>
      </w:r>
      <w:r>
        <w:rPr>
          <w:i/>
          <w:iCs/>
        </w:rPr>
        <w:t xml:space="preserve">For. Ecol. Manage.</w:t>
      </w:r>
      <w:r>
        <w:t xml:space="preserve"> </w:t>
      </w:r>
      <w:r>
        <w:rPr>
          <w:b/>
          <w:bCs/>
        </w:rPr>
        <w:t xml:space="preserve">307</w:t>
      </w:r>
      <w:r>
        <w:t xml:space="preserve">, 226–241 (2013).</w:t>
      </w:r>
    </w:p>
    <w:p>
      <w:pPr>
        <w:pStyle w:val="Compact"/>
        <w:numPr>
          <w:ilvl w:val="0"/>
          <w:numId w:val="1009"/>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9"/>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9"/>
        </w:numPr>
      </w:pPr>
      <w:r>
        <w:t xml:space="preserve">L. N. Griffiths, W. J. Mitsch, Estimating the effects of a hurricane on carbon storage in mangrove wetlands in Southwest Florida.</w:t>
      </w:r>
      <w:r>
        <w:t xml:space="preserve"> </w:t>
      </w:r>
      <w:r>
        <w:rPr>
          <w:i/>
          <w:iCs/>
        </w:rPr>
        <w:t xml:space="preserve">Plants</w:t>
      </w:r>
      <w:r>
        <w:t xml:space="preserve"> </w:t>
      </w:r>
      <w:r>
        <w:rPr>
          <w:b/>
          <w:bCs/>
        </w:rPr>
        <w:t xml:space="preserve">10</w:t>
      </w:r>
      <w:r>
        <w:t xml:space="preserve">, 1749 (2021).</w:t>
      </w:r>
    </w:p>
    <w:p>
      <w:pPr>
        <w:pStyle w:val="Compact"/>
        <w:numPr>
          <w:ilvl w:val="0"/>
          <w:numId w:val="1009"/>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9"/>
        </w:numPr>
      </w:pPr>
      <w:r>
        <w:t xml:space="preserve">M. A. Heskel et al., Convergence in the temperature response of leaf respiration across biomes and plant functional types.</w:t>
      </w:r>
      <w:r>
        <w:t xml:space="preserve"> </w:t>
      </w:r>
      <w:r>
        <w:rPr>
          <w:i/>
          <w:iCs/>
        </w:rPr>
        <w:t xml:space="preserve">Proc. Natl Acad. Sci. USA</w:t>
      </w:r>
      <w:r>
        <w:t xml:space="preserve"> </w:t>
      </w:r>
      <w:r>
        <w:rPr>
          <w:b/>
          <w:bCs/>
        </w:rPr>
        <w:t xml:space="preserve">113</w:t>
      </w:r>
      <w:r>
        <w:t xml:space="preserve">, 3832–3837 (2016).</w:t>
      </w:r>
    </w:p>
    <w:p>
      <w:pPr>
        <w:pStyle w:val="Compact"/>
        <w:numPr>
          <w:ilvl w:val="0"/>
          <w:numId w:val="1009"/>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9"/>
        </w:numPr>
      </w:pPr>
      <w:r>
        <w:t xml:space="preserve">C. Huntingford et al., Implications of improved representations of plant respiration in a changing climate.</w:t>
      </w:r>
      <w:r>
        <w:t xml:space="preserve"> </w:t>
      </w:r>
      <w:r>
        <w:rPr>
          <w:i/>
          <w:iCs/>
        </w:rPr>
        <w:t xml:space="preserve">Nat. Commun.</w:t>
      </w:r>
      <w:r>
        <w:t xml:space="preserve"> </w:t>
      </w:r>
      <w:r>
        <w:rPr>
          <w:b/>
          <w:bCs/>
        </w:rPr>
        <w:t xml:space="preserve">8</w:t>
      </w:r>
      <w:r>
        <w:t xml:space="preserve">, 1602 (2017).</w:t>
      </w:r>
    </w:p>
    <w:p>
      <w:pPr>
        <w:pStyle w:val="Compact"/>
        <w:numPr>
          <w:ilvl w:val="0"/>
          <w:numId w:val="1009"/>
        </w:numPr>
      </w:pPr>
      <w:r>
        <w:t xml:space="preserve">G. L. Hutchinson, A. R. Mosier, Improved soil cover method for field measurement of nitrous oxide fluxes.</w:t>
      </w:r>
      <w:r>
        <w:t xml:space="preserve"> </w:t>
      </w:r>
      <w:r>
        <w:rPr>
          <w:i/>
          <w:iCs/>
        </w:rPr>
        <w:t xml:space="preserve">Soil Sci. Soc. Am. J.</w:t>
      </w:r>
      <w:r>
        <w:t xml:space="preserve"> </w:t>
      </w:r>
      <w:r>
        <w:rPr>
          <w:b/>
          <w:bCs/>
        </w:rPr>
        <w:t xml:space="preserve">45</w:t>
      </w:r>
      <w:r>
        <w:t xml:space="preserve">, 311–316 (1981).</w:t>
      </w:r>
    </w:p>
    <w:p>
      <w:pPr>
        <w:pStyle w:val="Compact"/>
        <w:numPr>
          <w:ilvl w:val="0"/>
          <w:numId w:val="1009"/>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9"/>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9"/>
        </w:numPr>
      </w:pPr>
      <w:r>
        <w:t xml:space="preserve">N. Kljun, P. Calanca, M. W. Rotach, H. P. Schmid, A simple two-dimensional parameterisation for Flux Footprint Prediction (FFP).</w:t>
      </w:r>
      <w:r>
        <w:t xml:space="preserve"> </w:t>
      </w:r>
      <w:r>
        <w:rPr>
          <w:i/>
          <w:iCs/>
        </w:rPr>
        <w:t xml:space="preserve">Geosci. Model Dev.</w:t>
      </w:r>
      <w:r>
        <w:t xml:space="preserve"> </w:t>
      </w:r>
      <w:r>
        <w:rPr>
          <w:b/>
          <w:bCs/>
        </w:rPr>
        <w:t xml:space="preserve">8</w:t>
      </w:r>
      <w:r>
        <w:t xml:space="preserve">, 3695–3713 (2015).</w:t>
      </w:r>
    </w:p>
    <w:p>
      <w:pPr>
        <w:pStyle w:val="Compact"/>
        <w:numPr>
          <w:ilvl w:val="0"/>
          <w:numId w:val="1009"/>
        </w:numPr>
      </w:pPr>
      <w:r>
        <w:t xml:space="preserve">K. W. Krauss et al., Woody debris in the mangrove forests of South Florida.</w:t>
      </w:r>
      <w:r>
        <w:t xml:space="preserve"> </w:t>
      </w:r>
      <w:r>
        <w:rPr>
          <w:i/>
          <w:iCs/>
        </w:rPr>
        <w:t xml:space="preserve">Biotropica</w:t>
      </w:r>
      <w:r>
        <w:t xml:space="preserve"> </w:t>
      </w:r>
      <w:r>
        <w:rPr>
          <w:b/>
          <w:bCs/>
        </w:rPr>
        <w:t xml:space="preserve">37</w:t>
      </w:r>
      <w:r>
        <w:t xml:space="preserve">, 9–15 (2005).</w:t>
      </w:r>
    </w:p>
    <w:p>
      <w:pPr>
        <w:pStyle w:val="Compact"/>
        <w:numPr>
          <w:ilvl w:val="0"/>
          <w:numId w:val="1009"/>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9"/>
        </w:numPr>
      </w:pPr>
      <w:r>
        <w:t xml:space="preserve">C.-W. Lin et al., Flushing emissions of methane and carbon dioxide from mangrove soils during tidal cycles.</w:t>
      </w:r>
      <w:r>
        <w:t xml:space="preserve"> </w:t>
      </w:r>
      <w:r>
        <w:rPr>
          <w:i/>
          <w:iCs/>
        </w:rPr>
        <w:t xml:space="preserve">Sci. Total Environ.</w:t>
      </w:r>
      <w:r>
        <w:t xml:space="preserve"> </w:t>
      </w:r>
      <w:r>
        <w:rPr>
          <w:b/>
          <w:bCs/>
        </w:rPr>
        <w:t xml:space="preserve">919</w:t>
      </w:r>
      <w:r>
        <w:t xml:space="preserve">, 170768 (2024).</w:t>
      </w:r>
    </w:p>
    <w:p>
      <w:pPr>
        <w:pStyle w:val="Compact"/>
        <w:numPr>
          <w:ilvl w:val="0"/>
          <w:numId w:val="1009"/>
        </w:numPr>
      </w:pPr>
      <w:r>
        <w:t xml:space="preserve">C. E. Lovelock, R. W. Ruess, I. C. Feller, CO2 efflux from cleared mangrove peat.</w:t>
      </w:r>
      <w:r>
        <w:t xml:space="preserve"> </w:t>
      </w:r>
      <w:r>
        <w:rPr>
          <w:i/>
          <w:iCs/>
        </w:rPr>
        <w:t xml:space="preserve">PLoS ONE</w:t>
      </w:r>
      <w:r>
        <w:t xml:space="preserve"> </w:t>
      </w:r>
      <w:r>
        <w:rPr>
          <w:b/>
          <w:bCs/>
        </w:rPr>
        <w:t xml:space="preserve">6</w:t>
      </w:r>
      <w:r>
        <w:t xml:space="preserve">, e21279 (2011).</w:t>
      </w:r>
    </w:p>
    <w:p>
      <w:pPr>
        <w:pStyle w:val="Compact"/>
        <w:numPr>
          <w:ilvl w:val="0"/>
          <w:numId w:val="1009"/>
        </w:numPr>
      </w:pPr>
      <w:r>
        <w:t xml:space="preserve">R. M. Martin et al., Greenhouse gas fluxes of mangrove soils and adjacent coastal waters in an urban, subtropical estuary.</w:t>
      </w:r>
      <w:r>
        <w:t xml:space="preserve"> </w:t>
      </w:r>
      <w:r>
        <w:rPr>
          <w:i/>
          <w:iCs/>
        </w:rPr>
        <w:t xml:space="preserve">Wetlands</w:t>
      </w:r>
      <w:r>
        <w:t xml:space="preserve"> </w:t>
      </w:r>
      <w:r>
        <w:rPr>
          <w:b/>
          <w:bCs/>
        </w:rPr>
        <w:t xml:space="preserve">40</w:t>
      </w:r>
      <w:r>
        <w:t xml:space="preserve">, 1469–1480 (2020).</w:t>
      </w:r>
    </w:p>
    <w:p>
      <w:pPr>
        <w:pStyle w:val="Compact"/>
        <w:numPr>
          <w:ilvl w:val="0"/>
          <w:numId w:val="1009"/>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9"/>
        </w:numPr>
      </w:pPr>
      <w:r>
        <w:t xml:space="preserve">M. J. Osland et al., A tropical cyclone-induced ecological regime shift: mangrove forest conversion to mudflat in Everglades National Park (Florida, USA).</w:t>
      </w:r>
      <w:r>
        <w:t xml:space="preserve"> </w:t>
      </w:r>
      <w:r>
        <w:rPr>
          <w:i/>
          <w:iCs/>
        </w:rPr>
        <w:t xml:space="preserve">Wetlands</w:t>
      </w:r>
      <w:r>
        <w:t xml:space="preserve"> </w:t>
      </w:r>
      <w:r>
        <w:rPr>
          <w:b/>
          <w:bCs/>
        </w:rPr>
        <w:t xml:space="preserve">40</w:t>
      </w:r>
      <w:r>
        <w:t xml:space="preserve">, 1445–1458 (2020).</w:t>
      </w:r>
    </w:p>
    <w:p>
      <w:pPr>
        <w:pStyle w:val="Compact"/>
        <w:numPr>
          <w:ilvl w:val="0"/>
          <w:numId w:val="1009"/>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9"/>
        </w:numPr>
      </w:pPr>
      <w:r>
        <w:t xml:space="preserve">A. R. Pedersen, S. O. Petersen, K. Schelde, A comprehensive approach to soil-atmosphere trace-gas flux estimation with static chambers.</w:t>
      </w:r>
      <w:r>
        <w:t xml:space="preserve"> </w:t>
      </w:r>
      <w:r>
        <w:rPr>
          <w:i/>
          <w:iCs/>
        </w:rPr>
        <w:t xml:space="preserve">Eur. J. Soil Sci.</w:t>
      </w:r>
      <w:r>
        <w:t xml:space="preserve"> </w:t>
      </w:r>
      <w:r>
        <w:rPr>
          <w:b/>
          <w:bCs/>
        </w:rPr>
        <w:t xml:space="preserve">61</w:t>
      </w:r>
      <w:r>
        <w:t xml:space="preserve">, 888–902 (2010).</w:t>
      </w:r>
    </w:p>
    <w:p>
      <w:pPr>
        <w:pStyle w:val="Compact"/>
        <w:numPr>
          <w:ilvl w:val="0"/>
          <w:numId w:val="1009"/>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9"/>
        </w:numPr>
      </w:pPr>
      <w:r>
        <w:t xml:space="preserve">E. B. Powell et al., manuscript in preparation.</w:t>
      </w:r>
    </w:p>
    <w:p>
      <w:pPr>
        <w:pStyle w:val="Compact"/>
        <w:numPr>
          <w:ilvl w:val="0"/>
          <w:numId w:val="1009"/>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9"/>
        </w:numPr>
      </w:pPr>
      <w:r>
        <w:t xml:space="preserve">D. Reed et al., Resilience to hurricanes is high in mangrove blue carbon forests.</w:t>
      </w:r>
      <w:r>
        <w:t xml:space="preserve"> </w:t>
      </w:r>
      <w:r>
        <w:rPr>
          <w:i/>
          <w:iCs/>
        </w:rPr>
        <w:t xml:space="preserve">Glob. Change Biol.</w:t>
      </w:r>
      <w:r>
        <w:t xml:space="preserve"> </w:t>
      </w:r>
      <w:r>
        <w:rPr>
          <w:b/>
          <w:bCs/>
        </w:rPr>
        <w:t xml:space="preserve">31</w:t>
      </w:r>
      <w:r>
        <w:t xml:space="preserve">, e70124 (2025).</w:t>
      </w:r>
    </w:p>
    <w:p>
      <w:pPr>
        <w:pStyle w:val="Compact"/>
        <w:numPr>
          <w:ilvl w:val="0"/>
          <w:numId w:val="1009"/>
        </w:numPr>
      </w:pPr>
      <w:r>
        <w:t xml:space="preserve">G. M. S. Reithmaier, D. T. Ho, S. G. Johnston, D. T. Maher, Mangroves as a source of greenhouse gases to the atmosphere and alkalinity and dissolved carbon to the coastal ocean: a case study from the Everglades National Park, Florida.</w:t>
      </w:r>
      <w:r>
        <w:t xml:space="preserve"> </w:t>
      </w:r>
      <w:r>
        <w:rPr>
          <w:i/>
          <w:iCs/>
        </w:rPr>
        <w:t xml:space="preserve">J. Geophys. Res. Biogeosci.</w:t>
      </w:r>
      <w:r>
        <w:t xml:space="preserve"> </w:t>
      </w:r>
      <w:r>
        <w:rPr>
          <w:b/>
          <w:bCs/>
        </w:rPr>
        <w:t xml:space="preserve">125</w:t>
      </w:r>
      <w:r>
        <w:t xml:space="preserve">, e2020JG005812 (2020).</w:t>
      </w:r>
    </w:p>
    <w:p>
      <w:pPr>
        <w:pStyle w:val="Compact"/>
        <w:numPr>
          <w:ilvl w:val="0"/>
          <w:numId w:val="1009"/>
        </w:numPr>
      </w:pPr>
      <w:r>
        <w:t xml:space="preserve">K. Rheault, J. R. Christiansen, K. S. Larsen, goFlux: a user-friendly way to calculate GHG fluxes yourself, regardless of user experience.</w:t>
      </w:r>
      <w:r>
        <w:t xml:space="preserve"> </w:t>
      </w:r>
      <w:r>
        <w:rPr>
          <w:i/>
          <w:iCs/>
        </w:rPr>
        <w:t xml:space="preserve">J. Open Source Softw.</w:t>
      </w:r>
      <w:r>
        <w:t xml:space="preserve"> </w:t>
      </w:r>
      <w:r>
        <w:rPr>
          <w:b/>
          <w:bCs/>
        </w:rPr>
        <w:t xml:space="preserve">9</w:t>
      </w:r>
      <w:r>
        <w:t xml:space="preserve">, 6393 (2024).</w:t>
      </w:r>
    </w:p>
    <w:p>
      <w:pPr>
        <w:pStyle w:val="Compact"/>
        <w:numPr>
          <w:ilvl w:val="0"/>
          <w:numId w:val="1009"/>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9"/>
        </w:numPr>
      </w:pPr>
      <w:r>
        <w:t xml:space="preserve">J. A. Salas-Rabaza et al., Impacts of leaks and gas accumulation on closed chamber methods for measuring methane and carbon dioxide fluxes from tree stems.</w:t>
      </w:r>
      <w:r>
        <w:t xml:space="preserve"> </w:t>
      </w:r>
      <w:r>
        <w:rPr>
          <w:i/>
          <w:iCs/>
        </w:rPr>
        <w:t xml:space="preserve">Sci. Total Environ.</w:t>
      </w:r>
      <w:r>
        <w:t xml:space="preserve"> </w:t>
      </w:r>
      <w:r>
        <w:rPr>
          <w:b/>
          <w:bCs/>
        </w:rPr>
        <w:t xml:space="preserve">904</w:t>
      </w:r>
      <w:r>
        <w:t xml:space="preserve">, 166358 (2023).</w:t>
      </w:r>
    </w:p>
    <w:p>
      <w:pPr>
        <w:pStyle w:val="Compact"/>
        <w:numPr>
          <w:ilvl w:val="0"/>
          <w:numId w:val="1009"/>
        </w:numPr>
      </w:pPr>
      <w:r>
        <w:t xml:space="preserve">J. Z. Sippo et al., Coastal carbon cycle changes following mangrove loss.</w:t>
      </w:r>
      <w:r>
        <w:t xml:space="preserve"> </w:t>
      </w:r>
      <w:r>
        <w:rPr>
          <w:i/>
          <w:iCs/>
        </w:rPr>
        <w:t xml:space="preserve">Limnol. Oceanogr.</w:t>
      </w:r>
      <w:r>
        <w:t xml:space="preserve"> </w:t>
      </w:r>
      <w:r>
        <w:rPr>
          <w:b/>
          <w:bCs/>
        </w:rPr>
        <w:t xml:space="preserve">65</w:t>
      </w:r>
      <w:r>
        <w:t xml:space="preserve">, 2642–2656 (2020).</w:t>
      </w:r>
    </w:p>
    <w:p>
      <w:pPr>
        <w:pStyle w:val="Compact"/>
        <w:numPr>
          <w:ilvl w:val="0"/>
          <w:numId w:val="1009"/>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9"/>
        </w:numPr>
      </w:pPr>
      <w:r>
        <w:t xml:space="preserve">D. Sotomayor, J. E. Corredor, J. M. Morell, Methane flux from mangrove sediments along the southwestern coast of Puerto Rico.</w:t>
      </w:r>
      <w:r>
        <w:t xml:space="preserve"> </w:t>
      </w:r>
      <w:r>
        <w:rPr>
          <w:i/>
          <w:iCs/>
        </w:rPr>
        <w:t xml:space="preserve">Estuaries</w:t>
      </w:r>
      <w:r>
        <w:t xml:space="preserve"> </w:t>
      </w:r>
      <w:r>
        <w:rPr>
          <w:b/>
          <w:bCs/>
        </w:rPr>
        <w:t xml:space="preserve">17</w:t>
      </w:r>
      <w:r>
        <w:t xml:space="preserve">, 140–147 (1994).</w:t>
      </w:r>
    </w:p>
    <w:p>
      <w:pPr>
        <w:pStyle w:val="Compact"/>
        <w:numPr>
          <w:ilvl w:val="0"/>
          <w:numId w:val="1009"/>
        </w:numPr>
      </w:pPr>
      <w:r>
        <w:t xml:space="preserve">A. I. Stegehuis, D. T. Ho, L. Bopp, B. Guenet, Reduced carbon outflow from a Floridian mangrove estuary up to two years after a hurricane.</w:t>
      </w:r>
      <w:r>
        <w:t xml:space="preserve"> </w:t>
      </w:r>
      <w:r>
        <w:rPr>
          <w:i/>
          <w:iCs/>
        </w:rPr>
        <w:t xml:space="preserve">Commun. Earth Environ.</w:t>
      </w:r>
      <w:r>
        <w:t xml:space="preserve"> </w:t>
      </w:r>
      <w:r>
        <w:rPr>
          <w:b/>
          <w:bCs/>
        </w:rPr>
        <w:t xml:space="preserve">7</w:t>
      </w:r>
      <w:r>
        <w:t xml:space="preserve">, 395 (2026).</w:t>
      </w:r>
    </w:p>
    <w:p>
      <w:pPr>
        <w:pStyle w:val="Compact"/>
        <w:numPr>
          <w:ilvl w:val="0"/>
          <w:numId w:val="1009"/>
        </w:numPr>
      </w:pPr>
      <w:r>
        <w:t xml:space="preserve">M. A. Sturchio et al., Temperature acclimation of leaf respiration differs between marsh and mangrove vegetation in a coastal wetland ecotone.</w:t>
      </w:r>
      <w:r>
        <w:t xml:space="preserve"> </w:t>
      </w:r>
      <w:r>
        <w:rPr>
          <w:i/>
          <w:iCs/>
        </w:rPr>
        <w:t xml:space="preserve">Glob. Change Biol.</w:t>
      </w:r>
      <w:r>
        <w:t xml:space="preserve"> </w:t>
      </w:r>
      <w:r>
        <w:rPr>
          <w:b/>
          <w:bCs/>
        </w:rPr>
        <w:t xml:space="preserve">28</w:t>
      </w:r>
      <w:r>
        <w:t xml:space="preserve">, 612–629 (2022).</w:t>
      </w:r>
    </w:p>
    <w:p>
      <w:pPr>
        <w:pStyle w:val="Compact"/>
        <w:numPr>
          <w:ilvl w:val="0"/>
          <w:numId w:val="1009"/>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9"/>
        </w:numPr>
      </w:pPr>
      <w:r>
        <w:t xml:space="preserve">T. G. Troxler et al., Component-specific dynamics of riverine mangrove CO2 efflux in the Florida coastal Everglades.</w:t>
      </w:r>
      <w:r>
        <w:t xml:space="preserve"> </w:t>
      </w:r>
      <w:r>
        <w:rPr>
          <w:i/>
          <w:iCs/>
        </w:rPr>
        <w:t xml:space="preserve">Agric. For. Meteorol.</w:t>
      </w:r>
      <w:r>
        <w:t xml:space="preserve"> </w:t>
      </w:r>
      <w:r>
        <w:rPr>
          <w:b/>
          <w:bCs/>
        </w:rPr>
        <w:t xml:space="preserve">213</w:t>
      </w:r>
      <w:r>
        <w:t xml:space="preserve">, 273–282 (2015).</w:t>
      </w:r>
    </w:p>
    <w:p>
      <w:pPr>
        <w:pStyle w:val="Compact"/>
        <w:numPr>
          <w:ilvl w:val="0"/>
          <w:numId w:val="1009"/>
        </w:numPr>
      </w:pPr>
      <w:r>
        <w:t xml:space="preserve">R. Wanninkhof, Relationship between wind speed and gas exchange over the ocean revisited.</w:t>
      </w:r>
      <w:r>
        <w:t xml:space="preserve"> </w:t>
      </w:r>
      <w:r>
        <w:rPr>
          <w:i/>
          <w:iCs/>
        </w:rPr>
        <w:t xml:space="preserve">Limnol. Oceanogr. Methods</w:t>
      </w:r>
      <w:r>
        <w:t xml:space="preserve"> </w:t>
      </w:r>
      <w:r>
        <w:rPr>
          <w:b/>
          <w:bCs/>
        </w:rPr>
        <w:t xml:space="preserve">12</w:t>
      </w:r>
      <w:r>
        <w:t xml:space="preserve">, 351–362 (2014).</w:t>
      </w:r>
    </w:p>
    <w:p>
      <w:pPr>
        <w:pStyle w:val="Compact"/>
        <w:numPr>
          <w:ilvl w:val="0"/>
          <w:numId w:val="1009"/>
        </w:numPr>
      </w:pPr>
      <w:r>
        <w:t xml:space="preserve">R. F. Weiss, Carbon dioxide in water and seawater: the solubility of a non-ideal gas.</w:t>
      </w:r>
      <w:r>
        <w:t xml:space="preserve"> </w:t>
      </w:r>
      <w:r>
        <w:rPr>
          <w:i/>
          <w:iCs/>
        </w:rPr>
        <w:t xml:space="preserve">Mar. Chem.</w:t>
      </w:r>
      <w:r>
        <w:t xml:space="preserve"> </w:t>
      </w:r>
      <w:r>
        <w:rPr>
          <w:b/>
          <w:bCs/>
        </w:rPr>
        <w:t xml:space="preserve">2</w:t>
      </w:r>
      <w:r>
        <w:t xml:space="preserve">, 203–215 (1974).</w:t>
      </w:r>
    </w:p>
    <w:p>
      <w:pPr>
        <w:pStyle w:val="Compact"/>
        <w:numPr>
          <w:ilvl w:val="0"/>
          <w:numId w:val="1009"/>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9"/>
        </w:numPr>
      </w:pPr>
      <w:r>
        <w:t xml:space="preserve">S. A. Wood et al., Mitigating near-term climate change.</w:t>
      </w:r>
      <w:r>
        <w:t xml:space="preserve"> </w:t>
      </w:r>
      <w:r>
        <w:rPr>
          <w:i/>
          <w:iCs/>
        </w:rPr>
        <w:t xml:space="preserve">Environ. Res. Lett.</w:t>
      </w:r>
      <w:r>
        <w:t xml:space="preserve"> </w:t>
      </w:r>
      <w:r>
        <w:rPr>
          <w:b/>
          <w:bCs/>
        </w:rPr>
        <w:t xml:space="preserve">18</w:t>
      </w:r>
      <w:r>
        <w:t xml:space="preserve">, 101002 (2023).</w:t>
      </w:r>
    </w:p>
    <w:p>
      <w:pPr>
        <w:pStyle w:val="Compact"/>
        <w:numPr>
          <w:ilvl w:val="0"/>
          <w:numId w:val="1009"/>
        </w:numPr>
      </w:pPr>
      <w:r>
        <w:t xml:space="preserve">S. Yamamoto, J. B. Alcauskas, T. E. Crozier, Solubility of methane in distilled water and seawater.</w:t>
      </w:r>
      <w:r>
        <w:t xml:space="preserve"> </w:t>
      </w:r>
      <w:r>
        <w:rPr>
          <w:i/>
          <w:iCs/>
        </w:rPr>
        <w:t xml:space="preserve">J. Chem. Eng. Data</w:t>
      </w:r>
      <w:r>
        <w:t xml:space="preserve"> </w:t>
      </w:r>
      <w:r>
        <w:rPr>
          <w:b/>
          <w:bCs/>
        </w:rPr>
        <w:t xml:space="preserve">21</w:t>
      </w:r>
      <w:r>
        <w:t xml:space="preserve">, 78–80 (1976).</w:t>
      </w:r>
    </w:p>
    <w:p>
      <w:pPr>
        <w:pStyle w:val="Compact"/>
        <w:numPr>
          <w:ilvl w:val="0"/>
          <w:numId w:val="1009"/>
        </w:numPr>
      </w:pPr>
      <w:r>
        <w:t xml:space="preserve">Y. Y. Y. Yau et al., Efficient oxidation attenuates porewater-derived methane fluxes in mangrove waters.</w:t>
      </w:r>
      <w:r>
        <w:t xml:space="preserve"> </w:t>
      </w:r>
      <w:r>
        <w:rPr>
          <w:i/>
          <w:iCs/>
        </w:rPr>
        <w:t xml:space="preserve">Limnol. Oceanogr.</w:t>
      </w:r>
      <w:r>
        <w:t xml:space="preserve"> </w:t>
      </w:r>
      <w:r>
        <w:rPr>
          <w:b/>
          <w:bCs/>
        </w:rPr>
        <w:t xml:space="preserve">69</w:t>
      </w:r>
      <w:r>
        <w:t xml:space="preserve">, 1997–2014 (2024).</w:t>
      </w:r>
    </w:p>
    <w:p>
      <w:pPr>
        <w:pStyle w:val="Compact"/>
        <w:numPr>
          <w:ilvl w:val="0"/>
          <w:numId w:val="1009"/>
        </w:numPr>
      </w:pPr>
      <w:r>
        <w:t xml:space="preserve">Z.-J. Yong, W.-J. Lin, C.-W. Lin, H.-J. Lin, Tidal influence on carbon dioxide and methane fluxes from tree stems and soils in mangrove forests.</w:t>
      </w:r>
      <w:r>
        <w:t xml:space="preserve"> </w:t>
      </w:r>
      <w:r>
        <w:rPr>
          <w:i/>
          <w:iCs/>
        </w:rPr>
        <w:t xml:space="preserve">Biogeosciences</w:t>
      </w:r>
      <w:r>
        <w:t xml:space="preserve"> </w:t>
      </w:r>
      <w:r>
        <w:rPr>
          <w:b/>
          <w:bCs/>
        </w:rPr>
        <w:t xml:space="preserve">21</w:t>
      </w:r>
      <w:r>
        <w:t xml:space="preserve">, 5247–5260 (2024).</w:t>
      </w:r>
    </w:p>
    <w:p>
      <w:pPr>
        <w:pStyle w:val="Compact"/>
        <w:numPr>
          <w:ilvl w:val="0"/>
          <w:numId w:val="1009"/>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9"/>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9"/>
        </w:numPr>
      </w:pPr>
      <w:r>
        <w:t xml:space="preserve">X. Zhu et al., Asynchronous methane and carbon dioxide fluxes drive temporal variability of mangrove blue carbon sequestration.</w:t>
      </w:r>
      <w:r>
        <w:t xml:space="preserve"> </w:t>
      </w:r>
      <w:r>
        <w:rPr>
          <w:i/>
          <w:iCs/>
        </w:rPr>
        <w:t xml:space="preserve">Geophys. Res. Lett.</w:t>
      </w:r>
      <w:r>
        <w:t xml:space="preserve"> </w:t>
      </w:r>
      <w:r>
        <w:rPr>
          <w:b/>
          <w:bCs/>
        </w:rPr>
        <w:t xml:space="preserve">51</w:t>
      </w:r>
      <w:r>
        <w:t xml:space="preserve">, e2023GL107235 (2024).</w:t>
      </w:r>
    </w:p>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1" Target="media/rId71.png" /><Relationship Type="http://schemas.openxmlformats.org/officeDocument/2006/relationships/image" Id="rId89" Target="media/rId89.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50" Target="media/rId50.png" /><Relationship Type="http://schemas.openxmlformats.org/officeDocument/2006/relationships/image" Id="rId86" Target="media/rId86.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77" Target="media/rId77.png" /><Relationship Type="http://schemas.openxmlformats.org/officeDocument/2006/relationships/image" Id="rId83" Target="media/rId83.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68" Target="media/rId68.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2026-10-04T00:10:33Z</dcterms:created>
  <dcterms:modified xsi:type="dcterms:W3CDTF">2026-10-04T00:10:33Z</dcterms:modified>
</cp:coreProperties>
</file>

<file path=docProps/custom.xml><?xml version="1.0" encoding="utf-8"?>
<Properties xmlns="http://schemas.openxmlformats.org/officeDocument/2006/custom-properties" xmlns:vt="http://schemas.openxmlformats.org/officeDocument/2006/docPropsVTypes"/>
</file>