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[CHECK —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partitioning of intact-forest respiration agrees with earlier component studies at SRS6. Our below-canopy components other than stems (prop roots, soil, water and downed wood) released 1.6–2.2 µmol m−2 s−1 (610–820 g C m−2 yr−1), against 715 g C m−2 yr−1 for the same set of components (soil, litter, pneumatophores, prop roots, downed wood and water) summed by Troxler et al. (2015). That study did not measure stems, which here added a further 0.9–1.6 µmol m−2 s−1 (20–29% of respiration). The components Troxler et al. measured made up 45% (sum of components) to 65% (tower) of their ecosystem respiration, and the same components made up 36–39% of ours; including stems, our below-canopy share is 56–68%. Their dark leaf respiration (859 g C m−2 yr−1) carried no light inhibition, whereas our leaf term (660–760 g C m−2 yr−1) does. Exposed soil alone made up 10–14% of our respiration because flooded soil was not counted as soil efflux. This matches the ~10% typical of mature mangrove forests, as compiled by Ouyang et al. (2018). Their own microcosm seedlings put about twice that share through the sediment (20.9 ± 4.1%), but seedlings have little aboveground biomass, so the difference is expected. Our total respiration (4.5–5.5 µmol m−2 s−1) exceeds the tower’s annual mean for 2004–2005 (Barr et al. 2010). Part of the difference is respired carbon exported by the tides as dissolved inorganic carbon, which lowers tower respiration (Barr et al. 2010).</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X. Ouyang, S. Y. Lee, R. M. Connolly, Using isotope labeling to partition sources of CO2 efflux in newly established mangrove seedlings.</w:t>
      </w:r>
      <w:r>
        <w:t xml:space="preserve"> </w:t>
      </w:r>
      <w:r>
        <w:rPr>
          <w:i/>
          <w:iCs/>
        </w:rPr>
        <w:t xml:space="preserve">Limnol. Oceanogr.</w:t>
      </w:r>
      <w:r>
        <w:t xml:space="preserve"> </w:t>
      </w:r>
      <w:r>
        <w:rPr>
          <w:b/>
          <w:bCs/>
        </w:rPr>
        <w:t xml:space="preserve">63</w:t>
      </w:r>
      <w:r>
        <w:t xml:space="preserve">, 731–740 (2018).</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2026-10-08T23:59:45Z</dcterms:created>
  <dcterms:modified xsi:type="dcterms:W3CDTF">2026-10-08T23:59:45Z</dcterms:modified>
</cp:coreProperties>
</file>

<file path=docProps/custom.xml><?xml version="1.0" encoding="utf-8"?>
<Properties xmlns="http://schemas.openxmlformats.org/officeDocument/2006/custom-properties" xmlns:vt="http://schemas.openxmlformats.org/officeDocument/2006/docPropsVTypes"/>
</file>