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59.png" ContentType="image/png"/>
  <Override PartName="/word/media/rId68.png" ContentType="image/png"/>
  <Override PartName="/word/media/rId65.png" ContentType="image/png"/>
  <Override PartName="/word/media/rId62.png" ContentType="image/png"/>
  <Override PartName="/word/media/rId74.png" ContentType="image/png"/>
  <Override PartName="/word/media/rId56.png" ContentType="image/png"/>
  <Override PartName="/word/media/rId89.png" ContentType="image/png"/>
  <Override PartName="/word/media/rId53.png" ContentType="image/png"/>
  <Override PartName="/word/media/rId71.png" ContentType="image/png"/>
  <Override PartName="/word/media/rId92.png" ContentType="image/png"/>
  <Override PartName="/word/media/rId83.png" ContentType="image/png"/>
  <Override PartName="/word/media/rId50.png" ContentType="image/png"/>
  <Override PartName="/word/media/rId95.png" ContentType="image/png"/>
  <Override PartName="/word/media/rId47.png" ContentType="image/png"/>
  <Override PartName="/word/media/rId98.png" ContentType="image/png"/>
  <Override PartName="/word/media/rId101.png" ContentType="image/png"/>
  <Override PartName="/word/media/rId80.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Figures S1 to S21; Tables S1 to S16;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S4; figs. S1 and S2).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Carbon Monitoring System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 Against the long-term records (fig. S3), October 2022 was unusually wet (SRS6 water level above the typical October range) with tower CH4 near its seasonal maximum, whereas March 2023 had tower CH4 below the typical March range and high midday CO2 uptake; the two campaigns therefore bracket the seasonal range of CH4 rather than sample its mean, and the warmest months (July–September) were not sampled. Chamber measurements are shown against water level at each site and campaign in fig. S4.</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S5).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 Fluxes by component for every plot and campaign are shown in fig. S6, soil flux against pneumatophore density in fig. S7, and stem flux by height, species and live or dead status in fig. S10.</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S5: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S1). No flux was removed for being small, negative or below detection. Summary statistics of component rates (table S6;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S8).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S8).</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triplicate surface-water samples at the plots (headspace equilibration, GC; a replicate below 30% of its triplicate median was treated as a failed vial) and from the BlueFlux tidal-river survey (Vaughn and Raymond 2024; data S2): river stations beside SRS5 and SRS6 and a tidal creek inside the SRS6 forest. Salinity and temperature were those measured with each sample: sonde values for the survey, and for plot samples the surface-water salinity measured at the plot and the water temperature recorded at the chambers or on the plot datasheet. k600 was calibrated on chamber water fluxes grouped by plot, campaign and position (over the flooded forest floor, or in a channel or open water) and paired with dissolved CH4 from the same position (plot samples and the tidal creek with floor chambers, river stations with channel chambers), taking survey samples from within a day of the chambers. Ten pairs gave k600 of 0.40–7.6 cm h−1, all below the 50 cm h−1 plausibility limit. We used the median of the site medians (1.20 cm h−1; site medians 0.40–6.8, the uncertainty range), so that each site counts once, for both gases. This value lies within measurements for sheltered Everglades wetland water (0.3–3.2 cm h−1, compiled by Ho et al. 2018) and below those for the Shark River channel (3.3–8.3; Ho et al. 2014, 2016) and the river and estuary wind relations (Cole and Caraco 1998; Raymond and Cole 2001; Borges et al. 2004), which were developed for deeper, more turbulent water (fig. S9). The highest site value (SRS6, 6.8) would raise the October 2022 SRS6 water flux about fivefold; with it, SRS6 respiration exceeds the tower-partitioned value by ~50% and its net CO2 uptake nearly vanishes against the tower, so it is treated as a sensitivity case.</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 Woody surface by height is shown in fig. S11.</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S8) weights a high-tide state (flooded floor: water-surface flux, no soil or downed-wood flux) and a low-tide state (exposed floor). Alternatives (an all-or-nothing switch, the 2010–2023 hydrology, an equal split, and the floor mean ±1.96 SE) are compared in table S3; fig. S12 draws the campaign water levels against the woody surfaces of each scanned site. At the ghost sites the floor did not drain with the tide: they were fully flooded in October 2022 (all depth readings 2–31 cm). A pressure logger at FLM30 (21–27 October 2022) showed the water rising by ~13 cm over the week with a residual tide of no more than 1–3 cm, against daily ranges of 13.5 and 31 cm at SRS5 and SRS6 (Fig. 4C)</w:t>
      </w:r>
      <w:r>
        <w:t xml:space="preserve"> </w:t>
      </w:r>
      <w:r>
        <w:rPr>
          <w:i/>
          <w:iCs/>
        </w:rPr>
        <w:t xml:space="preserve">[PRELIMINARY: read from the logger display; replace with the logger file, barometrically corrected with US-Skr air pressure]</w:t>
      </w:r>
      <w:r>
        <w:t xml:space="preserve">. In March 2023 the share of our readings at stem, root and downed-wood positions without standing water (6 of 31 at CP40; 9 of 48 at FLM30) was budgeted as exposed soil. The water-level records, fitted floor heights and flooded shares are shown in fig. S13.</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inhibition of leaf respiration in the light, the JULES default (Clark et al. 2011; Huntingford et al. 2017; based on Atkin et al. 2000; daytime when shortwave &gt;5 W m−2),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S1).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version 2-5 (Fuentes et al. 2024; data S2); the site and flux system are described in Barr et al. (2010). Net exchange was the PI-provided NEE, or FC + SC where NEE was missing. GPP was partitioned with the gap-filling and partitioning script of S. Malone, adapted to our pipeline,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S9).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Flight tracks and the footprint area over each class are shown in fig. S16. Because regenerating forest was not separable in the footprints, the comparison used two end-members (intact and ghost), and the March 2023 value is the mean of the February and April 2023 deployments (variances combined; table S10).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with MHE PushPoint samplers for dissolved CH4, and conductivity, salinity, pH and dissolved oxygen were measured in the field with a Eureka Manta sonde. In October 2025, depth profiles (surface water and 0, 15, 45 and 90 cm) were collected at SRS5, SRS6, BL60 and CP40 with the same samplers. Temperature, pH, conductivity, dissolved oxygen and redox potential were measured in the field (Hanna HI98494). The dissolved-oxygen sensor read a constant ~30% saturation in anoxic water (porewater and BL60 surface water, which the 2022 sonde read at 0.6–2.9%), so 30% saturation was subtracted from all 2025 readings and mg L−1 rescaled by the same factor. SRS5 and SRS6 surface water had no sonde reading at the profile; their salinity, temperature, pH and O2 came from the transect sonde at the adjacent river station on 22 October 2025, as for the river-station salinities used in 2022–2023 (M8); total dissolved sulfide (methylene blue) and total dissolved iron (FerroVer) colorimetrically in the field (Hach DR900). Dissolved gases were measured by headspace equilibration in all rounds: 180 mL of water and 20 mL of ambient air were shaken to equilibrium at 25 °C, and the dissolved concentration was calculated from the equilibrated headspace by mass balance (KH 1.4 × 10−3 and 3.4 × 10−2 mol L−1 atm−1 for CH4 and CO2), subtracting the CH4 (1.95 ppm) and CO2 (420 ppm) carried in by the air. The 2022–2023 vials were analysed in one run on an SRI gas chromatograph (SRI Instruments) at Yale (December 2023)</w:t>
      </w:r>
      <w:r>
        <w:t xml:space="preserve"> </w:t>
      </w:r>
      <w:r>
        <w:rPr>
          <w:i/>
          <w:iCs/>
        </w:rPr>
        <w:t xml:space="preserve">[CHECK: model number and detectors]</w:t>
      </w:r>
      <w:r>
        <w:t xml:space="preserve">. Each vial was matched to its chromatogram by its position in the run sequence, and peak areas were calibrated against gravimetric standards (CH4 1–5,029 ppm, CO2 152–10,080 ppm, and dilutions in N2) injected at the start and end of each run: a power law for CH4 (standards back-predicted within ±13%; detection limit 0.2 ppm) and a weighted quadratic for CO2 (±5%). Most 2022–2023 porewater CO2 exceeded the highest standard and is indicative only. In October 2025, dissolved CH4 and CO2 and their δ13C were measured on a Picarro G2201-i with SAM autosampler at Yale after 1:5 dilution of the headspace. In every round a replicate below 30% of the median of its set (three or more vials) was treated as a failed vial and excluded (4 of 103 vials, all from October 2022; three held CH4 near air equilibrium);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Sulfide and iron are reported in mg L−1, as on the analyst’s data sheet</w:t>
      </w:r>
      <w:r>
        <w:t xml:space="preserve"> </w:t>
      </w:r>
      <w:r>
        <w:rPr>
          <w:i/>
          <w:iCs/>
        </w:rPr>
        <w:t xml:space="preserve">[CHECK with M. Zhang: sample dilution for the sulfide reading]</w:t>
      </w:r>
      <w:r>
        <w:t xml:space="preserve">. Chloride was not available, so sulfate consumption was estimated as the deficit of measured sulfate relative to the seawater sulfate:salinity ratio (28.2 mM at 35 PSU). δ13C-CO2 is not reported, because H2S in the headspace interferes with the measurement. Intact-site ammonium was compared with FCE LTER porewater monitoring at SRS5 and SRS6 (data S2; table S2). The principal-components analysis used October 2025 profiles (0–90 cm): numeric variables with ≤20% missing values, excluding coordinates, depth, conductivity and total dissolved solids (redundant with salinity), temperature, percent oxygen saturation, bromide and fluoride, δ13C-CO2 and standard deviations; complete cases (16 of 20); centred and scaled. The salinity–CH4 relationship used site × round × depth means of dissolved CH4 from all three rounds, porewater and plot surface water, fitted by ordinary least squares of ln(1 + CH4) on salinity, forest class and their interaction, with sample type (porewater or surface water) as a covariate; salinity effects are reported for each class as the partial correlation. Surface water without a plot salinity reading took the adjacent river-survey station (M8). River and bay channel CH4 (Vaughn and Raymond 2024) was fitted separately for comparison. Fitting all vials with a random effect for sampling location gave the same class slopes. Profiles are shown in Fig. 4 and, with the 2022–2023 rounds, the alkalinity balance, the remaining variables and surface water, in figs. S17 and S18.</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r>
        <w:t xml:space="preserve"> </w:t>
      </w:r>
      <w:r>
        <w:t xml:space="preserve">(fig. S19)</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S5),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S6).</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S11). For the map (Fig. 5C),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S12). Profiles are shown for live, flooded stems in the wet season, excluding random effects, back-transformed with sinh. Adding species changed little (table S12).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S10,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S13 lists every literature-derived value, its source, how it was converted and used, and the alternatives considered; table S14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S3).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co2-closure-caveats"/>
    <w:p>
      <w:pPr>
        <w:pStyle w:val="Heading2"/>
      </w:pPr>
      <w:r>
        <w:t xml:space="preserve">Text S1.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p>
      <w:pPr>
        <w:pStyle w:val="BodyText"/>
      </w:pPr>
      <w:r>
        <w:t xml:space="preserve">The ghost-forest CO2 budget sums component releases and contains no primary production beyond what the water chambers capture, whereas the aircraft resolved a small midday sink over ghost forest (−1 ± 2 µmol m−2 s−1 in October 2022 and −2.5 ± 2 in February 2023; table S10). The ghost ponds show some signs of photosynthesis, although they were mostly CO2-supersaturated when sampled. Daytime dissolved O2 reached 131% of saturation at FLM30 (October 2022; 75–131% across readings) and was 88% at CP40 in October 2025, with pH 8.0–8.4; dissolved CO2 was below air equilibrium on one visit (0.4–0.7 times at CP40, October 2022) but 2–7 times air equilibrium at FLM30 and 3–23 times at CP40 on the others. Floating-chamber CO2 efflux from the ghost ponds (site × campaign medians 0.2–0.6 µmol m−2 s−1) was lower than from intact-forest water (1.1–1.6) and BL60 (2.0). By comparison, intact-forest river and creek water held 39–90% O2 saturation, pH 7.4–7.9 and 4–14 times CO2 saturation, and BL60 surface water was anoxic (≤1.3% O2 saturation; 57–167 times CO2 saturation). Exposed ghost sediments at Marco Island took up CO2 in daylight (9 of 11 soil chambers in March 2023). The floating chambers were clear but not fully transparent and never recorded net CO2 uptake (all 42 water closures were positive, all at midday), so they include only part of any aquatic photosynthesis; some low, flat closures at CP40 (March 2023) are consistent with uptake nearly balancing respiration. Sparse margin vegetation, occasional resprouting or recruiting trees and any benthic algal mats are outside the chamber footprint. Ghost-forest primary production, in the ponds, at the margins and possibly in algal mats, is therefore uncertain but non-zero, and the chamber budget, a daily sum of component releases, is an upper bound on ghost-forest CO2 release. This, together with the midday timing and wider footprint of the aircraft, can account for the opposite signs of the chamber and airborne estimates. Diel O2 and CO2 records in the ponds would constrain it.</w:t>
      </w:r>
    </w:p>
    <w:p>
      <w:pPr>
        <w:pStyle w:val="BodyText"/>
      </w:pPr>
      <w:r>
        <w:t xml:space="preserve">Our switch is an intensive, process-resolved estimate for persistent ghost forest, based on two sites per class; we compare it here with two coarser routes that do not resolve conditions within a class (fig. S21). From the CARAFE class fluxes alone (four deployments; annual value the mean of the wet and dry seasons, as for the chambers), with midday CO2 scaled to daily for both classes by the tower relation of Doughty et al. (2026) (daily = 0.27 × midday + 0.58 µmol m−2 s−1, which restores night-time respiration), the switch is 4,520 g CO2-eq m−2 yr−1 at GWP20 (95% interval 1,970–7,040; 4,170 at GWP100); the ghost class is then a net CO2 source (~+540 g CO2 m−2 yr−1) rather than the near-neutral value obtained if ghost midday flux is taken as daily (switch 3,020, −790 to 6,740). The BlueFlux regional upscaling (Doughty et al. 2026), a reflectance-based model trained on the same project’s towers and CARAFE flights, separates mangrove forest from pixels in the post-Irma dieback map of Lagomasino et al. (2021); its 2022–2024 means (CO2 −2.5 vs −1.5 µmol m−2 s−1; CH4 ~18.5 vs ~27 nmol m−2 s−1, read from its figs. S2 and S3) imply a switch of ~1,700 g CO2-eq m−2 yr−1. The three estimates agree in sign and order of magnitude and decline with the spatial scale over which ghost forest is averaged: the chamber sites are persistent, unrecovered ghost forest; the airborne footprints integrate ghost-forest patches with their margins; and the 500 m pixels of the mapped dieback include stands that are regreening (fig. S2) and live trees. The regional total in the main text uses the area of dieback with little recovery (Taillie et al. 2020), the persistent subset that the chamber estimate represents.</w:t>
      </w:r>
    </w:p>
    <w:bookmarkEnd w:id="34"/>
    <w:bookmarkStart w:id="35" w:name="X6ddd9388d40dd2fc8e1a3d4b6cd64926b272c8e"/>
    <w:p>
      <w:pPr>
        <w:pStyle w:val="Heading2"/>
      </w:pPr>
      <w:r>
        <w:t xml:space="preserve">Text S2. Porewater redox, sulfur, iron and methane</w:t>
      </w:r>
    </w:p>
    <w:p>
      <w:pPr>
        <w:pStyle w:val="FirstParagraph"/>
      </w:pPr>
      <w:r>
        <w:t xml:space="preserve">The October 2025 profiles (0–90 cm; Fig. 4D) show where methane is produced and removed and how sulfide is buffered at each site.</w:t>
      </w:r>
    </w:p>
    <w:p>
      <w:pPr>
        <w:pStyle w:val="BodyText"/>
      </w:pPr>
      <w:r>
        <w:rPr>
          <w:b/>
          <w:bCs/>
        </w:rPr>
        <w:t xml:space="preserve">Sulfate reduction.</w:t>
      </w:r>
      <w:r>
        <w:t xml:space="preserve"> </w:t>
      </w:r>
      <w:r>
        <w:t xml:space="preserve">Sulfate was below the amount expected from salinity at every depth (deficit relative to the seawater sulfate:salinity ratio, 28.2 mM at 35 PSU): 13–26% at the intact sites, 0–32% at CP40 and 23–62% at BL60, the largest at BL60 90 cm. No profile reached a sulfate-free zone within 90 cm. At the intact sites the deficit accounts for the measured alkalinity (two equivalents per sulfate reduced, added to the conservative-mixing alkalinity of fig. S17: 10–12 mM predicted at SRS6, 10–12.5 measured). BL60 alkalinity (29–34 mM) exceeded that prediction near the surface, plausibly organic alkalinity from its very high dissolved organic carbon (106–318 mg L−1) and iron reduction. CP40 alkalinity (15–17 mM) fell below it (22–28 mM below the surface), as expected if sulfide is reoxidized to sulfate near the surface, which consumes alkalinity; at 0 cm sulfate was at the seawater ratio despite 0.8 mM sulfide. Methane therefore accumulated at CP40 alongside active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S17).</w:t>
      </w:r>
    </w:p>
    <w:p>
      <w:pPr>
        <w:pStyle w:val="BodyText"/>
      </w:pPr>
      <w:r>
        <w:rPr>
          <w:b/>
          <w:bCs/>
        </w:rPr>
        <w:t xml:space="preserve">Sulfide and iron.</w:t>
      </w:r>
      <w:r>
        <w:t xml:space="preserve"> </w:t>
      </w:r>
      <w:r>
        <w:t xml:space="preserve">Dissolved iron and sulfide did not co-occur: iron (13–21 µM) was found only where sulfide was low (≤0.12 mM; SRS6 0–15 cm, BL60 0 cm), as expected where ferrous iron precipitates sulfide. At the intact sites sulfide was low in the upper 15 cm and rose to ~1 mM at 45–90 cm, the pattern of a surface layer kept oxidized, in which ferric iron is regenerated and sulfide removed, by oxygen loss from live roots and burrows {mckee1993;kristensen2008} and by tidal flushing (Fig. 4C); the two cannot be separated here. At CP40, sulfide reached 0.8 mM at the sediment surface, with little iron at any depth: without live roots, the oxidized surface layer was absent. At pH 6.7–6.9 about half of this sulfide is H2S. With salinity of 50–55 PSU and ammonium of 200–320 µM, this is a harsh setting for seedling establishment, consistent with the absence of canopy recovery at CP40 (Fig. 1C). Sulfide was removed from solution at every site: dissolved sulfide was a small fraction of the sulfide implied by the sulfate deficit (1–2% at BL60, 3–4% at CP40 below the surface, 1–24% at the intact sites), whether by precipitation, reoxidation or degassing. The sites differed in where sulfide remained. At the sediment surface it was low at the intact sites (0.05–0.13 mM) and at BL60 (0.08 mM), but 0.8 mM at CP40. BL60, impounded and rain-fed, also had the lowest porewater salinity of the dead or recovering stands (33–35 PSU, against 50–55 at CP40), and its canopy recovered. With one regenerating site this cannot be generalized, but it suggests that salinity first, and sulfide at the sediment surface second, may separate stands that regenerate from those that remain ghost forest.</w:t>
      </w:r>
    </w:p>
    <w:p>
      <w:pPr>
        <w:pStyle w:val="BodyText"/>
      </w:pPr>
      <w:r>
        <w:rPr>
          <w:b/>
          <w:bCs/>
        </w:rPr>
        <w:t xml:space="preserve">Oxygen and redox potential.</w:t>
      </w:r>
      <w:r>
        <w:t xml:space="preserve"> </w:t>
      </w:r>
      <w:r>
        <w:t xml:space="preserve">The 2025 sonde read a constant ~30% saturation in anoxic, sulfidic porewater and in the anoxic BL60 surface water, which the 2022 sonde had read at 0.6–2.9%; we treat this as a zero offset of the sensor and subtract it from all 2025 readings (M16). After correction, oxygen above trace levels was found only at the intact sites, in the upper 0–45 cm and most clearly at SRS6 (SRS6: 44% of saturation at 0 cm and 23–24% at 15–45 cm; SRS5: 19% at 0 cm and 6% at 15–45 cm), where redox potential was highest (−93 mV at SRS6 0 cm), sulfide lowest and iron present; ghost and regenerating porewater held ≤3%. Redox potential tracked O2 (Spearman ρ = 0.85, n = 16) and CH4 (ρ = −0.76) more closely than sulfide (ρ = −0.42). Its negative relation to salinity (ρ = −0.71) arises because the hypersaline ghost site was also the most reduced, and because within intact profiles salinity and reduction both increased with depth; it does not indicate an effect of salinity on redox. In the surface water, the CP40 pond held 88% of saturation (pH 8.4) and BL60 1.3%. Surface-water values are listed in table S15.</w:t>
      </w:r>
    </w:p>
    <w:p>
      <w:pPr>
        <w:pStyle w:val="BodyText"/>
      </w:pPr>
      <w:r>
        <w:rPr>
          <w:b/>
          <w:bCs/>
        </w:rPr>
        <w:t xml:space="preserve">Methane production and removal.</w:t>
      </w:r>
      <w:r>
        <w:t xml:space="preserve"> </w:t>
      </w:r>
      <w:r>
        <w:t xml:space="preserve">Intact porewater held little CH4 (0.2–5 µM), with very light δ13C-CH4 below the surface (−77 to −99‰). At SRS6, CH4 decreased toward the surface (1.6 to 0.2 µM) while δ13C became heavier (−93 to −65‰), the signature of methane oxidation in the oxidized upper layer. Ghost-forest CH4 instead peaked at the sediment surface (60 µM at 0 cm, 22 µM at 90 cm), with no such front, and fell twenty-fold across the sediment–water interface into the oxygenated pond (2.7 µM): production is concentrated in the surface layer of dead roots and litter, and any oxidation occurs in the water. Pond CH4 was isotopically lighter (−70.6‰) than the porewater beneath (−61 to −64‰), so it is not simply porewater methane after partial oxidation, and may include bubble-derived methane or production at the sediment surface. CP40 and BL60 porewater δ13C (−58 to −65‰) was heavier than at the intact sites; without a valid δ13C of dissolved inorganic carbon (M16), production pathway and oxidation cannot be separated isotopically. At BL60, the surface water held more CH4 (87 µM; −78.6‰) than the porewater beneath it (5–24 µM), so the fresh, stagnant impounded water is itself a methane source.</w:t>
      </w:r>
    </w:p>
    <w:bookmarkEnd w:id="35"/>
    <w:bookmarkStart w:id="36" w:name="text-s3.-regenerating-stand"/>
    <w:p>
      <w:pPr>
        <w:pStyle w:val="Heading2"/>
      </w:pPr>
      <w:r>
        <w:t xml:space="preserve">Text S3.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Built like the other classes, campaign by campaign with each campaign’s measured flooded share (0.96 of depth readings with standing water in October 2022, 0 in March 2023) and then averaged, BL60 emits ~29 g CH4 m−2 yr−1 with stem and prop-root areas midway between the ghost and intact classes, and 24–33 for no woody surface to the full intact woody surface; the floor (soil and water) alone supplies ~24. This is above both ghost (~12) and intact (~1.5) forest under every structural assumption. The estimate assumes structure and is not part of the closed budgets or forcing, but indicates that early regeneration need not be a low-emission state.</w:t>
      </w:r>
    </w:p>
    <w:bookmarkEnd w:id="36"/>
    <w:bookmarkStart w:id="37" w:name="text-s4.-context-sites"/>
    <w:p>
      <w:pPr>
        <w:pStyle w:val="Heading2"/>
      </w:pPr>
      <w:r>
        <w:t xml:space="preserve">Text S4. Context sites</w:t>
      </w:r>
    </w:p>
    <w:p>
      <w:pPr>
        <w:pStyle w:val="FirstParagraph"/>
      </w:pPr>
      <w:r>
        <w:t xml:space="preserve">Single dry-season visits place the core results in a wider context (table S16);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37"/>
    <w:bookmarkStart w:id="38" w:name="X722c2c18e3dbeb738a51d3615e1b1c530e4845b"/>
    <w:p>
      <w:pPr>
        <w:pStyle w:val="Heading2"/>
      </w:pPr>
      <w:r>
        <w:t xml:space="preserve">Text S5. Net forcing under carbon-balance framings</w:t>
      </w:r>
    </w:p>
    <w:p>
      <w:pPr>
        <w:pStyle w:val="FirstParagraph"/>
      </w:pPr>
      <w:r>
        <w:t xml:space="preserve">On vertical exchange the intact class is a sink of −3,620 g CO2-eq m−2 yr−1 at GWP20 (−3,701 at GWP100), and its CH4 offsets 3% (GWP20) to 1% (GWP100) of the CO2 sink. Under the central lateral scenario (346 g C m−2 yr−1) the intact forest retains ~670 g C m−2 yr−1. With exported alkalinity retained in the ocean and the rest returned to the air, the intact sink is −2,696 g CO2-eq m−2 yr−1 at GWP20 (−2,941 to −1,697 across lateral scenarios), CH4 offsets 5% of it, and the switch is ~5,500 (~4,900 at GWP100). If all exported carbon returns to the air, the intact sink is −2,315 (−2,716 to −140)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3D). Lateral export of dissolved CH4 from intact forest (~0.35 g C m−2 yr−1; Yau et al. 2024, an analogue) is small beside stand emission (1.1 g C m−2 yr−1). The intact sink stays negative in every coherent scenario and approaches neutrality only with the highest export and complete atmospheric return.</w:t>
      </w:r>
    </w:p>
    <w:bookmarkEnd w:id="38"/>
    <w:bookmarkStart w:id="39" w:name="X0b4ee575d6c8370ebdc094741bf76bb778b3430"/>
    <w:p>
      <w:pPr>
        <w:pStyle w:val="Heading2"/>
      </w:pPr>
      <w:r>
        <w:t xml:space="preserve">Text S6.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bookmarkEnd w:id="39"/>
    <w:bookmarkStart w:id="40" w:name="text-s7.-stem-height-extrapolation"/>
    <w:p>
      <w:pPr>
        <w:pStyle w:val="Heading2"/>
      </w:pPr>
      <w:r>
        <w:t xml:space="preserve">Text S7.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S14).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40"/>
    <w:bookmarkStart w:id="41" w:name="text-s8.-tide-and-inundation"/>
    <w:p>
      <w:pPr>
        <w:pStyle w:val="Heading2"/>
      </w:pPr>
      <w:r>
        <w:t xml:space="preserve">Text S8.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S8); the derivation of the flooded share is shown in fig. S13, A to C, and stand CH4 in each tide state in fig. S13D.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+2,776 in the central case, and +2,460 to +4,362 across the options; ghost CH4 ranges 9.9–13.7 g m−2 yr−1 (table S3). An airborne check by campaign (table S10) favours the flooded representation in October 2022 and March 2023.</w:t>
      </w:r>
    </w:p>
    <w:bookmarkEnd w:id="41"/>
    <w:bookmarkStart w:id="42" w:name="text-s9.-downed-wood"/>
    <w:p>
      <w:pPr>
        <w:pStyle w:val="Heading2"/>
      </w:pPr>
      <w:r>
        <w:t xml:space="preserve">Text S9.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−1,170 to −760 g C m−2 yr−1 and the ghost class remains a source (table S3).</w:t>
      </w:r>
    </w:p>
    <w:bookmarkEnd w:id="42"/>
    <w:bookmarkStart w:id="43" w:name="text-s10.-monte-carlo-uncertainty"/>
    <w:p>
      <w:pPr>
        <w:pStyle w:val="Heading2"/>
      </w:pPr>
      <w:r>
        <w:t xml:space="preserve">Text S10.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S15). For net forcing, canopy leaf respiration (Rd25 and LAI) and tower GPP dominate the intact interval and the CH4 budget dominates the ghost interval. The intervals of the two states do not overlap: intact −5,183 to −1,854 and ghost +1,931 to +3,977 g CO2-eq m−2 yr−1 at GWP20 (−5,262 to −1,953 and +1,505 to +3,266 at GWP100). Structural choices outside the Monte Carlo are compared one at a time in text S11.</w:t>
      </w:r>
    </w:p>
    <w:bookmarkEnd w:id="43"/>
    <w:bookmarkStart w:id="44" w:name="X6973ca52a2564d6d027f8b1ebc3932becdac374"/>
    <w:p>
      <w:pPr>
        <w:pStyle w:val="Heading2"/>
      </w:pPr>
      <w:r>
        <w:t xml:space="preserve">Text S11. Sensitivity to analytical choices</w:t>
      </w:r>
    </w:p>
    <w:p>
      <w:pPr>
        <w:pStyle w:val="FirstParagraph"/>
      </w:pPr>
      <w:r>
        <w:t xml:space="preserve">Fig. S20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S3. Three results hold under every choice: at GWP20 the ghost class is a net source (+2,400 to +4,360 g CO2-eq m−2 yr−1; +1,830 to +3,630 at GWP100), the intact class is a net sink on vertical exchange (−2,650 to −4,250), and intact CH4 emission is clearly non-zero (1.0–2.2 g CH4 m−2 yr−1). The switch spans ~5,600–8,000 g CO2-eq m−2 yr−1 at GWP20 (~5,000–7,300 at GWP100), and ~5,100–5,400 under the plausible carbon-balance framings. The largest levers on the intact budget are canopy leaf respiration (LAI), the downed-wood volume and the flooding representation, which also decides the leading intact CH4 pathway: soils (54%) and roots (28%) in the central case; roots (44%) under the all-or-nothing switch.</w:t>
      </w:r>
    </w:p>
    <w:bookmarkEnd w:id="44"/>
    <w:bookmarkStart w:id="45"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mean soil emission of 1.6 nmol m−2 s−1 at the Piñones reserve and ~39 at the two most urbanized sites of the San Juan Bay Estuary, Puerto Rico (Martin et al. 2020); 3–59 (zone means of 4–82 mg CH4 m−2 d−1) across sewage-effluent-affected zones in southwest Puerto Rico (Sotomayor et al. 1994);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p>
      <w:r>
        <w:pict>
          <v:rect style="width:0;height:1.5pt" o:hralign="center" o:hrstd="t" o:hr="t"/>
        </w:pict>
      </w:r>
    </w:p>
    <w:bookmarkEnd w:id="45"/>
    <w:bookmarkEnd w:id="46"/>
    <w:bookmarkStart w:id="104" w:name="supplementary-figures"/>
    <w:p>
      <w:pPr>
        <w:pStyle w:val="Heading1"/>
      </w:pPr>
      <w:r>
        <w:t xml:space="preserve">Supplementary Figures</w:t>
      </w:r>
    </w:p>
    <w:p>
      <w:pPr>
        <w:pStyle w:val="FirstParagraph"/>
      </w:pPr>
      <w:r>
        <w:drawing>
          <wp:inline>
            <wp:extent cx="5334000" cy="3200400"/>
            <wp:effectExtent b="0" l="0" r="0" t="0"/>
            <wp:docPr descr="" title="" id="48" name="Picture"/>
            <a:graphic>
              <a:graphicData uri="http://schemas.openxmlformats.org/drawingml/2006/picture">
                <pic:pic>
                  <pic:nvPicPr>
                    <pic:cNvPr descr="output/figures/other/si_satellite_scenes.png" id="49" name="Picture"/>
                    <pic:cNvPicPr>
                      <a:picLocks noChangeArrowheads="1" noChangeAspect="1"/>
                    </pic:cNvPicPr>
                  </pic:nvPicPr>
                  <pic:blipFill>
                    <a:blip r:embed="rId4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Figure S1.</w:t>
      </w:r>
      <w:r>
        <w:t xml:space="preserve"> </w:t>
      </w:r>
      <w:r>
        <w:t xml:space="preserve">Sentinel-2 true-colour scenes of each site (rows; class colours) in every dry season (January–April) 2016–2025 (columns); Hurricane Irma (September 2017) falls between the 2017 and 2018 columns. 600 × 600 m around the plot for each year, the scene with the most cloud-free, valid pixels over the chip (reflectance stretched 0–0.15; Microsoft Planetary Computer).</w:t>
      </w:r>
    </w:p>
    <w:p>
      <w:pPr>
        <w:pStyle w:val="BodyText"/>
      </w:pPr>
      <w:r>
        <w:drawing>
          <wp:inline>
            <wp:extent cx="5334000" cy="5037666"/>
            <wp:effectExtent b="0" l="0" r="0" t="0"/>
            <wp:docPr descr="" title="" id="51" name="Picture"/>
            <a:graphic>
              <a:graphicData uri="http://schemas.openxmlformats.org/drawingml/2006/picture">
                <pic:pic>
                  <pic:nvPicPr>
                    <pic:cNvPr descr="output/figures/other/si_ndvi.png" id="52" name="Picture"/>
                    <pic:cNvPicPr>
                      <a:picLocks noChangeArrowheads="1" noChangeAspect="1"/>
                    </pic:cNvPicPr>
                  </pic:nvPicPr>
                  <pic:blipFill>
                    <a:blip r:embed="rId50"/>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Figure S2.</w:t>
      </w:r>
      <w:r>
        <w:t xml:space="preserve"> </w:t>
      </w:r>
      <w:r>
        <w:t xml:space="preserve">Site greenness through time. (a) Dry-season (January–April) Landsat NDVI at each site, 1995–2025: median of cloud-free Landsat 5, 7, 8 and 9 surface-reflectance scenes (up to eight per year) over a 90 × 90 m window at the plot (centred 100 m inland at the river-edge SRS5 and SRS6 plots); dashed lines, Hurricanes Wilma (October 2005), Irma (September 2017) and Ian (September 2022). (b) Wet- versus dry-season greenness after Hurricane Irma: Sentinel-2 NDVI (3 × 3 pixel, 30 m window) in the wet (August–November) and dry (January–April) seasons of 2018–2025, median of up to three clear scenes per season; grey lines join the two seasons of a year; diamonds and bars, mean and range. At the river-edge SRS5 and SRS6 plots the window is centred 100 m inland. Negative values at the ghost plots in the wet season reflect standing water.</w:t>
      </w:r>
    </w:p>
    <w:p>
      <w:pPr>
        <w:pStyle w:val="BodyText"/>
      </w:pPr>
      <w:r>
        <w:drawing>
          <wp:inline>
            <wp:extent cx="5334000" cy="1926166"/>
            <wp:effectExtent b="0" l="0" r="0" t="0"/>
            <wp:docPr descr="" title="" id="54" name="Picture"/>
            <a:graphic>
              <a:graphicData uri="http://schemas.openxmlformats.org/drawingml/2006/picture">
                <pic:pic>
                  <pic:nvPicPr>
                    <pic:cNvPr descr="output/figures/other/si_campaign_context.png" id="55" name="Picture"/>
                    <pic:cNvPicPr>
                      <a:picLocks noChangeArrowheads="1" noChangeAspect="1"/>
                    </pic:cNvPicPr>
                  </pic:nvPicPr>
                  <pic:blipFill>
                    <a:blip r:embed="rId53"/>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Figure S3.</w:t>
      </w:r>
      <w:r>
        <w:t xml:space="preserve"> </w:t>
      </w:r>
      <w:r>
        <w:t xml:space="preserve">Campaign context (M2). Monthly z-scores of SRS6 water level (FCE LTER, 2001–2024), air temperature and midday net CO2 uptake (US-Skr tower, 2004–2011 and 2018–2023) and tower CH4 flux (2018–2023; FCH4 + storage, quality flag ≤ 1, u* &gt; 0.2), each standardised over all of its year-months. Lines, median for each calendar month; bands, interquartile range across years (16–22 years per month for water level, 2–6 for tower CH4); points, the campaign months (October 2022, March 2023) with ±1 SD of daily means within the month; shading, campaign months. The tower CH4 record carries a negative dry-season offset that the z-score removes; only its seasonal pattern is shown.</w:t>
      </w:r>
    </w:p>
    <w:p>
      <w:pPr>
        <w:pStyle w:val="BodyText"/>
      </w:pPr>
      <w:r>
        <w:drawing>
          <wp:inline>
            <wp:extent cx="5334000" cy="5926666"/>
            <wp:effectExtent b="0" l="0" r="0" t="0"/>
            <wp:docPr descr="" title="" id="57" name="Picture"/>
            <a:graphic>
              <a:graphicData uri="http://schemas.openxmlformats.org/drawingml/2006/picture">
                <pic:pic>
                  <pic:nvPicPr>
                    <pic:cNvPr descr="output/figures/other/sampling_design.png" id="58" name="Picture"/>
                    <pic:cNvPicPr>
                      <a:picLocks noChangeArrowheads="1" noChangeAspect="1"/>
                    </pic:cNvPicPr>
                  </pic:nvPicPr>
                  <pic:blipFill>
                    <a:blip r:embed="rId56"/>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rPr>
          <w:b/>
          <w:bCs/>
        </w:rPr>
        <w:t xml:space="preserve">Figure S4.</w:t>
      </w:r>
      <w:r>
        <w:t xml:space="preserve"> </w:t>
      </w:r>
      <w:r>
        <w:t xml:space="preserve">Sampling design relative to tide and standing water: chamber measurements by site and campaign against water level above the soil (FCE LTER loggers; the SRS5 October 2022 record has a gap before 19 October); diamonds at −2 cm mark chambers without a recorded water depth; triangles mark dissolved-gas samples.</w:t>
      </w:r>
    </w:p>
    <w:p>
      <w:pPr>
        <w:pStyle w:val="BodyText"/>
      </w:pPr>
      <w:r>
        <w:drawing>
          <wp:inline>
            <wp:extent cx="5334000" cy="7723316"/>
            <wp:effectExtent b="0" l="0" r="0" t="0"/>
            <wp:docPr descr="" title="" id="60" name="Picture"/>
            <a:graphic>
              <a:graphicData uri="http://schemas.openxmlformats.org/drawingml/2006/picture">
                <pic:pic>
                  <pic:nvPicPr>
                    <pic:cNvPr descr="output/figures/other/pub_SI_chamber_photos.png" id="61" name="Picture"/>
                    <pic:cNvPicPr>
                      <a:picLocks noChangeArrowheads="1" noChangeAspect="1"/>
                    </pic:cNvPicPr>
                  </pic:nvPicPr>
                  <pic:blipFill>
                    <a:blip r:embed="rId59"/>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Figure S5.</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6815666"/>
            <wp:effectExtent b="0" l="0" r="0" t="0"/>
            <wp:docPr descr="" title="" id="63" name="Picture"/>
            <a:graphic>
              <a:graphicData uri="http://schemas.openxmlformats.org/drawingml/2006/picture">
                <pic:pic>
                  <pic:nvPicPr>
                    <pic:cNvPr descr="output/figures/other/pub_component_by_plot_campaign_combined_condensed_boot.png" id="64" name="Picture"/>
                    <pic:cNvPicPr>
                      <a:picLocks noChangeArrowheads="1" noChangeAspect="1"/>
                    </pic:cNvPicPr>
                  </pic:nvPicPr>
                  <pic:blipFill>
                    <a:blip r:embed="rId62"/>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Figure S6.</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3407833"/>
            <wp:effectExtent b="0" l="0" r="0" t="0"/>
            <wp:docPr descr="" title="" id="66" name="Picture"/>
            <a:graphic>
              <a:graphicData uri="http://schemas.openxmlformats.org/drawingml/2006/picture">
                <pic:pic>
                  <pic:nvPicPr>
                    <pic:cNvPr descr="output/figures/other/pub_SI_pneumatophore_density.png" id="67" name="Picture"/>
                    <pic:cNvPicPr>
                      <a:picLocks noChangeArrowheads="1" noChangeAspect="1"/>
                    </pic:cNvPicPr>
                  </pic:nvPicPr>
                  <pic:blipFill>
                    <a:blip r:embed="rId65"/>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Figure S7.</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5185833"/>
            <wp:effectExtent b="0" l="0" r="0" t="0"/>
            <wp:docPr descr="" title="" id="69" name="Picture"/>
            <a:graphic>
              <a:graphicData uri="http://schemas.openxmlformats.org/drawingml/2006/picture">
                <pic:pic>
                  <pic:nvPicPr>
                    <pic:cNvPr descr="output/figures/other/pub_SI_ebullition_partition.png" id="70" name="Picture"/>
                    <pic:cNvPicPr>
                      <a:picLocks noChangeArrowheads="1" noChangeAspect="1"/>
                    </pic:cNvPicPr>
                  </pic:nvPicPr>
                  <pic:blipFill>
                    <a:blip r:embed="rId68"/>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Figure S8.</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6371166"/>
            <wp:effectExtent b="0" l="0" r="0" t="0"/>
            <wp:docPr descr="" title="" id="72" name="Picture"/>
            <a:graphic>
              <a:graphicData uri="http://schemas.openxmlformats.org/drawingml/2006/picture">
                <pic:pic>
                  <pic:nvPicPr>
                    <pic:cNvPr descr="output/figures/other/si_grp_dissolved.png" id="73" name="Picture"/>
                    <pic:cNvPicPr>
                      <a:picLocks noChangeArrowheads="1" noChangeAspect="1"/>
                    </pic:cNvPicPr>
                  </pic:nvPicPr>
                  <pic:blipFill>
                    <a:blip r:embed="rId71"/>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Figure S9.</w:t>
      </w:r>
      <w:r>
        <w:t xml:space="preserve"> </w:t>
      </w:r>
      <w:r>
        <w:t xml:space="preserve">Water-surface flux from dissolved gases. (a) Water-surface CH4 flux by campaign and site, by position (above the flooded forest floor, or in a channel or open water at the tidal sites; the ghost and regenerating sites have no channels): chamber fluxes (filled circles; bars, arithmetic means) and fluxes estimated from dissolved CH4 (open symbols; F = k600 (Sc/600)^−0.5 (Cw − Ceq) with k600 = 1.29 cm h−1, whiskers 0.44–6.8, the range of site medians; M8): our plot surface-water samples (diamonds) and the BlueFlux tidal-river survey (squares; river stations and the SRS6 tidal creek; Vaughn and Raymond 2024). At SRS5 and SRS6 in March 2023, channel and floor chamber fluxes did not differ (Wilcoxon p = 0.29 and 1). The dissolved estimates span the chamber fluxes except at CP40 in October 2022, where the plot sample was depleted in CH4 (25 nM) while the chambers recorded ebullition. (b) Gas-transfer velocity (k600) used for the water-surface fluxes estimated from dissolved gases (M8), against published values. Orange, Everglades measurements and the Everglades-fitted relation; grey, other systems; circles, measurements; triangles, equations. Diamond, median of the site medians of chamber-implied k600 (1.29 cm h−1; dashed line), the value used; bar, range of the site medians; ticks, the site medians. Measured: sheltered Everglades wetland water (Happell et al. 1995; Variano et al. 2009; Ho et al. 2018, as compiled there), Shark River channel tracer releases (Ho et al. 2014, 2016) and the river and estuary compilation of Raymond and Cole (2001). Equations, evaluated for forest-floor water (no current, 0.1 m depth) at the 1.2–2.4 m s−1 winds of the campaigns (point at 1.8): Ho et al. (2016) and Borges et al. (2004) without their current terms, Rosentreter et al. (2017; CH4), Wanninkhof (2014), Cole and Caraco (1998) and the three wind fits of Raymond and Cole (2001). The stream relations of Raymond et al. (2012) require channel slope and velocity and are not applicable to standing water.</w:t>
      </w:r>
    </w:p>
    <w:p>
      <w:pPr>
        <w:pStyle w:val="BodyText"/>
      </w:pPr>
      <w:r>
        <w:drawing>
          <wp:inline>
            <wp:extent cx="5334000" cy="4593166"/>
            <wp:effectExtent b="0" l="0" r="0" t="0"/>
            <wp:docPr descr="" title="" id="75" name="Picture"/>
            <a:graphic>
              <a:graphicData uri="http://schemas.openxmlformats.org/drawingml/2006/picture">
                <pic:pic>
                  <pic:nvPicPr>
                    <pic:cNvPr descr="output/figures/other/pub_stem_height_composite_combined.png" id="76" name="Picture"/>
                    <pic:cNvPicPr>
                      <a:picLocks noChangeArrowheads="1" noChangeAspect="1"/>
                    </pic:cNvPicPr>
                  </pic:nvPicPr>
                  <pic:blipFill>
                    <a:blip r:embed="rId74"/>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Figure S10.</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2667000"/>
            <wp:effectExtent b="0" l="0" r="0" t="0"/>
            <wp:docPr descr="" title="" id="78" name="Picture"/>
            <a:graphic>
              <a:graphicData uri="http://schemas.openxmlformats.org/drawingml/2006/picture">
                <pic:pic>
                  <pic:nvPicPr>
                    <pic:cNvPr descr="output/figures/other/SA_by_segment_height_fixedY.png" id="79" name="Picture"/>
                    <pic:cNvPicPr>
                      <a:picLocks noChangeArrowheads="1" noChangeAspect="1"/>
                    </pic:cNvPicPr>
                  </pic:nvPicPr>
                  <pic:blipFill>
                    <a:blip r:embed="rId7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S11.</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4741333"/>
            <wp:effectExtent b="0" l="0" r="0" t="0"/>
            <wp:docPr descr="" title="" id="81" name="Picture"/>
            <a:graphic>
              <a:graphicData uri="http://schemas.openxmlformats.org/drawingml/2006/picture">
                <pic:pic>
                  <pic:nvPicPr>
                    <pic:cNvPr descr="output/figures/other/si_waterline.png" id="82" name="Picture"/>
                    <pic:cNvPicPr>
                      <a:picLocks noChangeArrowheads="1" noChangeAspect="1"/>
                    </pic:cNvPicPr>
                  </pic:nvPicPr>
                  <pic:blipFill>
                    <a:blip r:embed="rId80"/>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Figure S12.</w:t>
      </w:r>
      <w:r>
        <w:t xml:space="preserve"> </w:t>
      </w:r>
      <w:r>
        <w:t xml:space="preserve">Water level against the woody surfaces at the four laser-scanned sites (M10, M11; vertical axis to scale, cm above the plot’s mean floor; horizontal positions, prop-root reach and pneumatophores illustrative). Lines, water level by campaign (dark, wet season, October 2022; light, dry season, March 2023): at the tidal intact sites (a, b), mean high (dashed) and low (solid) water of the campaign month from the FCE LTER loggers; at the ghost sites (c, d), mean recorded depth. Floor relief follows the fitted floor-height distribution (tidal sites) or the recorded depths (ghost sites); stems stand on the mean floor (tidal) or at the mean floor height of the stem chambers (ghost); stem and prop-root diameters, root heights and stem number per 7 m are from TLS; downed wood has the median measured diameter and lies on the mean floor. Subtitles give the share of each surface above water used in the budgets (mean of the two campaigns; lowest 0.5 m of stem), the flooded share of the floor, and the median annual maximum water level (2001–2024). Hourly extremes (99th and 1st percentiles) in the campaign months were +20 and −2 cm (October) and +12 and −28 cm (March) at SRS5, and +43 and −3 cm and +33 and −26 cm at SRS6.</w:t>
      </w:r>
    </w:p>
    <w:p>
      <w:pPr>
        <w:pStyle w:val="BodyText"/>
      </w:pPr>
      <w:r>
        <w:drawing>
          <wp:inline>
            <wp:extent cx="5334000" cy="6667500"/>
            <wp:effectExtent b="0" l="0" r="0" t="0"/>
            <wp:docPr descr="" title="" id="84" name="Picture"/>
            <a:graphic>
              <a:graphicData uri="http://schemas.openxmlformats.org/drawingml/2006/picture">
                <pic:pic>
                  <pic:nvPicPr>
                    <pic:cNvPr descr="output/figures/other/si_grp_tide.png" id="85" name="Picture"/>
                    <pic:cNvPicPr>
                      <a:picLocks noChangeArrowheads="1" noChangeAspect="1"/>
                    </pic:cNvPicPr>
                  </pic:nvPicPr>
                  <pic:blipFill>
                    <a:blip r:embed="rId83"/>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bCs/>
        </w:rPr>
        <w:t xml:space="preserve">Figure S13.</w:t>
      </w:r>
      <w:r>
        <w:t xml:space="preserve"> </w:t>
      </w:r>
      <w:r>
        <w:t xml:space="preserve">Flooded share of the intact forest floor at the tidal sites (M11; table S8). (a) Hourly water level (FCE LTER logger datum) at SRS5 and SRS6 in the campaign months; points, logger level at each chamber water-depth reading (filled, standing water; open, none); dashed line and band, fitted mean floor height ± 1 SD. (b) Floor height relative to the logger datum, fitted as a normal distribution by censored maximum likelihood from the depth readings (green; rug, readings with standing water), against the distribution of hourly water level in each campaign month; floor below the water is flooded. (c) Campaign-month flooded share: area-weighted mean of the hourly flooded share (central; bars, floor mean ± 1.96 SE), the all-or-nothing switch (whole floor flooded when the offset-corrected logger level is above zero) and the long-term area-weighted value (2010 onward, dashed). (d) 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6371166"/>
            <wp:effectExtent b="0" l="0" r="0" t="0"/>
            <wp:docPr descr="" title="" id="87" name="Picture"/>
            <a:graphic>
              <a:graphicData uri="http://schemas.openxmlformats.org/drawingml/2006/picture">
                <pic:pic>
                  <pic:nvPicPr>
                    <pic:cNvPr descr="output/figures/other/stem_extrap_clean.png" id="88" name="Picture"/>
                    <pic:cNvPicPr>
                      <a:picLocks noChangeArrowheads="1" noChangeAspect="1"/>
                    </pic:cNvPicPr>
                  </pic:nvPicPr>
                  <pic:blipFill>
                    <a:blip r:embed="rId86"/>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Figure S14.</w:t>
      </w:r>
      <w:r>
        <w:t xml:space="preserve"> </w:t>
      </w:r>
      <w:r>
        <w:t xml:space="preserve">Stem height extrapolation (text S7).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90" name="Picture"/>
            <a:graphic>
              <a:graphicData uri="http://schemas.openxmlformats.org/drawingml/2006/picture">
                <pic:pic>
                  <pic:nvPicPr>
                    <pic:cNvPr descr="output/figures/other/si_S10_mc_uncertainty.png" id="91" name="Picture"/>
                    <pic:cNvPicPr>
                      <a:picLocks noChangeArrowheads="1" noChangeAspect="1"/>
                    </pic:cNvPicPr>
                  </pic:nvPicPr>
                  <pic:blipFill>
                    <a:blip r:embed="rId89"/>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S15.</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S10); inverse-hyperbolic-sine axis; components that are always zero omitted.</w:t>
      </w:r>
    </w:p>
    <w:p>
      <w:pPr>
        <w:pStyle w:val="BodyText"/>
      </w:pPr>
      <w:r>
        <w:rPr>
          <w:b/>
          <w:bCs/>
        </w:rPr>
        <w:t xml:space="preserve">Figure S16.</w:t>
      </w:r>
      <w:r>
        <w:t xml:space="preserve"> </w:t>
      </w:r>
      <w:r>
        <w:rPr>
          <w:i/>
          <w:iCs/>
        </w:rPr>
        <w:t xml:space="preserve">[PLACEHOLDER — CARAFE flight tracks and coverage (E. Delaria): flight legs of each deployment (April 2022, October 2022, February and April 2023, July 2024) over the mangrove extent and the 2017 dieback; footprint climatology; area of intact and ghost mangrove within the footprints (km2) and its share of each class in south Florida; the ground sites marked.]</w:t>
      </w:r>
    </w:p>
    <w:p>
      <w:pPr>
        <w:pStyle w:val="BodyText"/>
      </w:pPr>
      <w:r>
        <w:drawing>
          <wp:inline>
            <wp:extent cx="5334000" cy="7704666"/>
            <wp:effectExtent b="0" l="0" r="0" t="0"/>
            <wp:docPr descr="" title="" id="93" name="Picture"/>
            <a:graphic>
              <a:graphicData uri="http://schemas.openxmlformats.org/drawingml/2006/picture">
                <pic:pic>
                  <pic:nvPicPr>
                    <pic:cNvPr descr="output/figures/other/si_grp_porewater.png" id="94" name="Picture"/>
                    <pic:cNvPicPr>
                      <a:picLocks noChangeArrowheads="1" noChangeAspect="1"/>
                    </pic:cNvPicPr>
                  </pic:nvPicPr>
                  <pic:blipFill>
                    <a:blip r:embed="rId92"/>
                    <a:stretch>
                      <a:fillRect/>
                    </a:stretch>
                  </pic:blipFill>
                  <pic:spPr bwMode="auto">
                    <a:xfrm>
                      <a:off x="0" y="0"/>
                      <a:ext cx="5334000" cy="7704666"/>
                    </a:xfrm>
                    <a:prstGeom prst="rect">
                      <a:avLst/>
                    </a:prstGeom>
                    <a:noFill/>
                    <a:ln w="9525">
                      <a:noFill/>
                      <a:headEnd/>
                      <a:tailEnd/>
                    </a:ln>
                  </pic:spPr>
                </pic:pic>
              </a:graphicData>
            </a:graphic>
          </wp:inline>
        </w:drawing>
      </w:r>
    </w:p>
    <w:p>
      <w:pPr>
        <w:pStyle w:val="BodyText"/>
      </w:pPr>
      <w:r>
        <w:rPr>
          <w:b/>
          <w:bCs/>
        </w:rPr>
        <w:t xml:space="preserve">Figure S17.</w:t>
      </w:r>
      <w:r>
        <w:t xml:space="preserve"> </w:t>
      </w:r>
      <w:r>
        <w:t xml:space="preserve">Porewater chemistry. Porewater by site, sampling round (October 2022, March 2023, October 2025) and depth: (a) dissolved CH4 and (b) salinity (site × round × depth means; porewater only). Site names coloured by forest class. No porewater CH4 was analysed for SRS5 and SRS6 in March 2023. Alkalinity against conservative mixing and sulfate reduction (October 2025; 0–90 cm, surface water excluded; text S2): (c) Total alkalinity against salinity, with the mixing line (dashed; end-members salinity 0, 3,000 µM and salinity 35, 2,400 µM). (d) Measured against mixing-predicted alkalinity; dashed, 1:1. (e) Measured ÷ mixing-predicted alkalinity by site. (f) Alkalinity above mixing against twice the sulfate deficit (sulfate below the seawater sulfate:salinity ratio, 28.2 mM at 35 PSU); dashed, 1:1, the alkalinity sulfate reduction alone would produce (text S2). Fill, forest class; shape, site. FLM30 was not sampled for alkalinity.</w:t>
      </w:r>
    </w:p>
    <w:p>
      <w:pPr>
        <w:pStyle w:val="BodyText"/>
      </w:pPr>
      <w:r>
        <w:drawing>
          <wp:inline>
            <wp:extent cx="5334000" cy="4445000"/>
            <wp:effectExtent b="0" l="0" r="0" t="0"/>
            <wp:docPr descr="" title="" id="96" name="Picture"/>
            <a:graphic>
              <a:graphicData uri="http://schemas.openxmlformats.org/drawingml/2006/picture">
                <pic:pic>
                  <pic:nvPicPr>
                    <pic:cNvPr descr="output/figures/other/si_porewater_extra.png" id="97" name="Picture"/>
                    <pic:cNvPicPr>
                      <a:picLocks noChangeArrowheads="1" noChangeAspect="1"/>
                    </pic:cNvPicPr>
                  </pic:nvPicPr>
                  <pic:blipFill>
                    <a:blip r:embed="rId95"/>
                    <a:stretch>
                      <a:fillRect/>
                    </a:stretch>
                  </pic:blipFill>
                  <pic:spPr bwMode="auto">
                    <a:xfrm>
                      <a:off x="0" y="0"/>
                      <a:ext cx="5334000" cy="4445000"/>
                    </a:xfrm>
                    <a:prstGeom prst="rect">
                      <a:avLst/>
                    </a:prstGeom>
                    <a:noFill/>
                    <a:ln w="9525">
                      <a:noFill/>
                      <a:headEnd/>
                      <a:tailEnd/>
                    </a:ln>
                  </pic:spPr>
                </pic:pic>
              </a:graphicData>
            </a:graphic>
          </wp:inline>
        </w:drawing>
      </w:r>
    </w:p>
    <w:p>
      <w:pPr>
        <w:pStyle w:val="BodyText"/>
      </w:pPr>
      <w:r>
        <w:rPr>
          <w:b/>
          <w:bCs/>
        </w:rPr>
        <w:t xml:space="preserve">Figure S18.</w:t>
      </w:r>
      <w:r>
        <w:t xml:space="preserve"> </w:t>
      </w:r>
      <w:r>
        <w:t xml:space="preserve">Porewater variables not shown in Fig. 4, and the salinity–CH4 relationship by sample type. (a) October 2025 profiles of pH, ammonium and nitrate (0–90 cm; inorganic nitrogen below detection set to zero), with plot surface water, where measured, in the blue band; shaded, 0–15 cm. (b) Salinity against dissolved CH4 (site × campaign × depth means; ln(1 + x) axis), porewater and plot surface water separately: lines, the model of Fig. 4B (salinity × forest class + sample type) at each sample type, with 95% confidence bands; shape, sampling round. River and bay channels (light blue; Vaughn and Raymond 2024) are shown with the surface water.</w:t>
      </w:r>
    </w:p>
    <w:p>
      <w:pPr>
        <w:pStyle w:val="BodyText"/>
      </w:pPr>
      <w:r>
        <w:rPr>
          <w:b/>
          <w:bCs/>
        </w:rPr>
        <w:t xml:space="preserve">Figure S19.</w:t>
      </w:r>
      <w:r>
        <w:t xml:space="preserve"> </w:t>
      </w:r>
      <w:r>
        <w:rPr>
          <w:i/>
          <w:iCs/>
        </w:rPr>
        <w:t xml:space="preserve">[PLACEHOLDER — sediment metagenome detail: taxonomy by site and depth, marker-gene abundance per gram sediment and per gram organic carbon, DNA yield (Peccia laboratory).]</w:t>
      </w:r>
    </w:p>
    <w:p>
      <w:pPr>
        <w:pStyle w:val="BodyText"/>
      </w:pPr>
      <w:r>
        <w:drawing>
          <wp:inline>
            <wp:extent cx="5334000" cy="4593166"/>
            <wp:effectExtent b="0" l="0" r="0" t="0"/>
            <wp:docPr descr="" title="" id="99" name="Picture"/>
            <a:graphic>
              <a:graphicData uri="http://schemas.openxmlformats.org/drawingml/2006/picture">
                <pic:pic>
                  <pic:nvPicPr>
                    <pic:cNvPr descr="output/figures/other/si_sensitivity_switch.png" id="100" name="Picture"/>
                    <pic:cNvPicPr>
                      <a:picLocks noChangeArrowheads="1" noChangeAspect="1"/>
                    </pic:cNvPicPr>
                  </pic:nvPicPr>
                  <pic:blipFill>
                    <a:blip r:embed="rId98"/>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Figure S20.</w:t>
      </w:r>
      <w:r>
        <w:t xml:space="preserve"> </w:t>
      </w:r>
      <w:r>
        <w:t xml:space="preserve">Sensitivity of the intact-to-ghost switch (GWP20) to analytical choices, one at a time (text S11; table S3). Vertical line, central case (6,396 g CO2-eq m−2 yr−1); points left of it lower the switch, right of it raise it. Analytical choices keep the switch between ~5,600 and ~8,000 (GWP100: ~5,000–7,300); only carbon-balance framings that count lateral export or storage alone lower it further.</w:t>
      </w:r>
    </w:p>
    <w:p>
      <w:pPr>
        <w:pStyle w:val="BodyText"/>
      </w:pPr>
      <w:r>
        <w:drawing>
          <wp:inline>
            <wp:extent cx="5334000" cy="2370666"/>
            <wp:effectExtent b="0" l="0" r="0" t="0"/>
            <wp:docPr descr="" title="" id="102" name="Picture"/>
            <a:graphic>
              <a:graphicData uri="http://schemas.openxmlformats.org/drawingml/2006/picture">
                <pic:pic>
                  <pic:nvPicPr>
                    <pic:cNvPr descr="output/figures/other/si_switch_methods.png" id="103" name="Picture"/>
                    <pic:cNvPicPr>
                      <a:picLocks noChangeArrowheads="1" noChangeAspect="1"/>
                    </pic:cNvPicPr>
                  </pic:nvPicPr>
                  <pic:blipFill>
                    <a:blip r:embed="rId101"/>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Figure S21.</w:t>
      </w:r>
      <w:r>
        <w:t xml:space="preserve"> </w:t>
      </w:r>
      <w:r>
        <w:t xml:space="preserve">The intact-to-ghost switch by three routes (text S1): chamber site budgets (this study; Monte Carlo 95% interval); CARAFE airborne class fluxes alone (Delaria et al. 2024; four deployments, wet and dry seasons weighted equally), with midday CO2 scaled to daily for both classes by the tower relation of Doughty et al. (2026), and as a sensitivity with ghost midday flux taken as daily (pale); and the BlueFlux regional upscaling (Doughty et al. 2026), mangrove-forest versus mapped-dieback pixels, 2022–2024 (values read from its figs. S2 and S3; no interval). Bars, CO2 and CH4 parts; diamonds and whiskers, switch and 95% interval.</w:t>
      </w:r>
    </w:p>
    <w:p>
      <w:r>
        <w:pict>
          <v:rect style="width:0;height:1.5pt" o:hralign="center" o:hrstd="t" o:hr="t"/>
        </w:pict>
      </w:r>
    </w:p>
    <w:bookmarkEnd w:id="104"/>
    <w:bookmarkStart w:id="105" w:name="supplementary-tables"/>
    <w:p>
      <w:pPr>
        <w:pStyle w:val="Heading1"/>
      </w:pPr>
      <w:r>
        <w:t xml:space="preserve">Supplementary Tables</w:t>
      </w:r>
    </w:p>
    <w:p>
      <w:pPr>
        <w:pStyle w:val="FirstParagraph"/>
      </w:pPr>
      <w:r>
        <w:rPr>
          <w:b/>
          <w:bCs/>
        </w:rPr>
        <w:t xml:space="preserve">Table S1. Analysed fluxes by site, campaign and component.</w:t>
      </w:r>
      <w:r>
        <w:t xml:space="preserve"> </w:t>
      </w:r>
      <w:r>
        <w:t xml:space="preserve">The intact water-surface term in October 2022 (SRS5, SRS6), where no floating chamber was deployed, was estimated from dissolved CH4 and CO2 (M8).</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S2.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S3.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2,776 [2,142]</w:t>
            </w:r>
          </w:p>
        </w:tc>
        <w:tc>
          <w:tcPr/>
          <w:p>
            <w:pPr>
              <w:pStyle w:val="Compact"/>
            </w:pPr>
            <w:r>
              <w:t xml:space="preserve">6,411 [5,856]</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6,912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3,183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2,776 [2,142]</w:t>
            </w:r>
          </w:p>
        </w:tc>
        <w:tc>
          <w:tcPr/>
          <w:p>
            <w:pPr>
              <w:pStyle w:val="Compact"/>
            </w:pPr>
            <w:r>
              <w:t xml:space="preserve">6,037 [5,509]</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2,776 [2,142]</w:t>
            </w:r>
          </w:p>
        </w:tc>
        <w:tc>
          <w:tcPr/>
          <w:p>
            <w:pPr>
              <w:pStyle w:val="Compact"/>
            </w:pPr>
            <w:r>
              <w:t xml:space="preserve">7,090 [6,505]</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2,776 [2,142]</w:t>
            </w:r>
          </w:p>
        </w:tc>
        <w:tc>
          <w:tcPr/>
          <w:p>
            <w:pPr>
              <w:pStyle w:val="Compact"/>
            </w:pPr>
            <w:r>
              <w:t xml:space="preserve">6,179 [5,648]</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2,776 [2,142]</w:t>
            </w:r>
          </w:p>
        </w:tc>
        <w:tc>
          <w:tcPr/>
          <w:p>
            <w:pPr>
              <w:pStyle w:val="Compact"/>
            </w:pPr>
            <w:r>
              <w:t xml:space="preserve">6,239 [5,693]</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2,776 [2,142]</w:t>
            </w:r>
          </w:p>
        </w:tc>
        <w:tc>
          <w:tcPr/>
          <w:p>
            <w:pPr>
              <w:pStyle w:val="Compact"/>
            </w:pPr>
            <w:r>
              <w:t xml:space="preserve">6,569 [6,006]</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2,776 [2,142]</w:t>
            </w:r>
          </w:p>
        </w:tc>
        <w:tc>
          <w:tcPr/>
          <w:p>
            <w:pPr>
              <w:pStyle w:val="Compact"/>
            </w:pPr>
            <w:r>
              <w:t xml:space="preserve">5,830 [5,311]</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−3,642 [−3,717]</w:t>
            </w:r>
          </w:p>
        </w:tc>
        <w:tc>
          <w:tcPr/>
          <w:p>
            <w:pPr>
              <w:pStyle w:val="Compact"/>
            </w:pPr>
            <w:r>
              <w:t xml:space="preserve">2,776 [2,142]</w:t>
            </w:r>
          </w:p>
        </w:tc>
        <w:tc>
          <w:tcPr/>
          <w:p>
            <w:pPr>
              <w:pStyle w:val="Compact"/>
            </w:pPr>
            <w:r>
              <w:t xml:space="preserve">6,418 [5,859]</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−3,618 [−3,709]</w:t>
            </w:r>
          </w:p>
        </w:tc>
        <w:tc>
          <w:tcPr/>
          <w:p>
            <w:pPr>
              <w:pStyle w:val="Compact"/>
            </w:pPr>
            <w:r>
              <w:t xml:space="preserve">2,776 [2,142]</w:t>
            </w:r>
          </w:p>
        </w:tc>
        <w:tc>
          <w:tcPr/>
          <w:p>
            <w:pPr>
              <w:pStyle w:val="Compact"/>
            </w:pPr>
            <w:r>
              <w:t xml:space="preserve">6,394 [5,850]</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−3,598 [−3,702]</w:t>
            </w:r>
          </w:p>
        </w:tc>
        <w:tc>
          <w:tcPr/>
          <w:p>
            <w:pPr>
              <w:pStyle w:val="Compact"/>
            </w:pPr>
            <w:r>
              <w:t xml:space="preserve">3,069 [2,243]</w:t>
            </w:r>
          </w:p>
        </w:tc>
        <w:tc>
          <w:tcPr/>
          <w:p>
            <w:pPr>
              <w:pStyle w:val="Compact"/>
            </w:pPr>
            <w:r>
              <w:t xml:space="preserve">6,668 [5,945]</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2,460 [1,899]</w:t>
            </w:r>
          </w:p>
        </w:tc>
        <w:tc>
          <w:tcPr/>
          <w:p>
            <w:pPr>
              <w:pStyle w:val="Compact"/>
            </w:pPr>
            <w:r>
              <w:t xml:space="preserve">6,095 [5,613]</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2,562 [1,977]</w:t>
            </w:r>
          </w:p>
        </w:tc>
        <w:tc>
          <w:tcPr/>
          <w:p>
            <w:pPr>
              <w:pStyle w:val="Compact"/>
            </w:pPr>
            <w:r>
              <w:t xml:space="preserve">6,197 [5,691]</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3,356 [2,699]</w:t>
            </w:r>
          </w:p>
        </w:tc>
        <w:tc>
          <w:tcPr/>
          <w:p>
            <w:pPr>
              <w:pStyle w:val="Compact"/>
            </w:pPr>
            <w:r>
              <w:t xml:space="preserve">6,991 [6,414]</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2,401 [1,830]</w:t>
            </w:r>
          </w:p>
        </w:tc>
        <w:tc>
          <w:tcPr/>
          <w:p>
            <w:pPr>
              <w:pStyle w:val="Compact"/>
            </w:pPr>
            <w:r>
              <w:t xml:space="preserve">6,036 [5,544]</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3,138 [2,457]</w:t>
            </w:r>
          </w:p>
        </w:tc>
        <w:tc>
          <w:tcPr/>
          <w:p>
            <w:pPr>
              <w:pStyle w:val="Compact"/>
            </w:pPr>
            <w:r>
              <w:t xml:space="preserve">6,773 [6,171]</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2,476 [1,946]</w:t>
            </w:r>
          </w:p>
        </w:tc>
        <w:tc>
          <w:tcPr/>
          <w:p>
            <w:pPr>
              <w:pStyle w:val="Compact"/>
            </w:pPr>
            <w:r>
              <w:t xml:space="preserve">6,111 [5,661]</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2,689 [2,111]</w:t>
            </w:r>
          </w:p>
        </w:tc>
        <w:tc>
          <w:tcPr/>
          <w:p>
            <w:pPr>
              <w:pStyle w:val="Compact"/>
            </w:pPr>
            <w:r>
              <w:t xml:space="preserve">6,325 [5,825]</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4,362 [3,633]</w:t>
            </w:r>
          </w:p>
        </w:tc>
        <w:tc>
          <w:tcPr/>
          <w:p>
            <w:pPr>
              <w:pStyle w:val="Compact"/>
            </w:pPr>
            <w:r>
              <w:t xml:space="preserve">7,997 [7,347]</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−1,204</w:t>
            </w:r>
          </w:p>
        </w:tc>
        <w:tc>
          <w:tcPr/>
          <w:p>
            <w:pPr>
              <w:pStyle w:val="Compact"/>
            </w:pPr>
            <w:r>
              <w:t xml:space="preserve">−4,288 [−4,368]</w:t>
            </w:r>
          </w:p>
        </w:tc>
        <w:tc>
          <w:tcPr/>
          <w:p>
            <w:pPr>
              <w:pStyle w:val="Compact"/>
            </w:pPr>
            <w:r>
              <w:t xml:space="preserve">2,776 [2,142]</w:t>
            </w:r>
          </w:p>
        </w:tc>
        <w:tc>
          <w:tcPr/>
          <w:p>
            <w:pPr>
              <w:pStyle w:val="Compact"/>
            </w:pPr>
            <w:r>
              <w:t xml:space="preserve">7,064 [6,509]</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−812</w:t>
            </w:r>
          </w:p>
        </w:tc>
        <w:tc>
          <w:tcPr/>
          <w:p>
            <w:pPr>
              <w:pStyle w:val="Compact"/>
            </w:pPr>
            <w:r>
              <w:t xml:space="preserve">−2,852 [−2,932]</w:t>
            </w:r>
          </w:p>
        </w:tc>
        <w:tc>
          <w:tcPr/>
          <w:p>
            <w:pPr>
              <w:pStyle w:val="Compact"/>
            </w:pPr>
            <w:r>
              <w:t xml:space="preserve">2,776 [2,142]</w:t>
            </w:r>
          </w:p>
        </w:tc>
        <w:tc>
          <w:tcPr/>
          <w:p>
            <w:pPr>
              <w:pStyle w:val="Compact"/>
            </w:pPr>
            <w:r>
              <w:t xml:space="preserve">5,628 [5,074]</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−2,711 [−2,815]</w:t>
            </w:r>
          </w:p>
        </w:tc>
        <w:tc>
          <w:tcPr/>
          <w:p>
            <w:pPr>
              <w:pStyle w:val="Compact"/>
            </w:pPr>
            <w:r>
              <w:t xml:space="preserve">2,776 [2,142]</w:t>
            </w:r>
          </w:p>
        </w:tc>
        <w:tc>
          <w:tcPr/>
          <w:p>
            <w:pPr>
              <w:pStyle w:val="Compact"/>
            </w:pPr>
            <w:r>
              <w:t xml:space="preserve">5,487 [4,957]</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−2,329 [−2,434]</w:t>
            </w:r>
          </w:p>
        </w:tc>
        <w:tc>
          <w:tcPr/>
          <w:p>
            <w:pPr>
              <w:pStyle w:val="Compact"/>
            </w:pPr>
            <w:r>
              <w:t xml:space="preserve">2,776 [2,142]</w:t>
            </w:r>
          </w:p>
        </w:tc>
        <w:tc>
          <w:tcPr/>
          <w:p>
            <w:pPr>
              <w:pStyle w:val="Compact"/>
            </w:pPr>
            <w:r>
              <w:t xml:space="preserve">5,105 [4,576]</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2,776 [2,142]</w:t>
            </w:r>
          </w:p>
        </w:tc>
        <w:tc>
          <w:tcPr/>
          <w:p>
            <w:pPr>
              <w:pStyle w:val="Compact"/>
            </w:pPr>
            <w:r>
              <w:t xml:space="preserve">3,586 [3,031]</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−5214 to −1918 [−5291 to −2012]</w:t>
            </w:r>
          </w:p>
        </w:tc>
        <w:tc>
          <w:tcPr/>
          <w:p>
            <w:pPr>
              <w:pStyle w:val="Compact"/>
            </w:pPr>
            <w:r>
              <w:t xml:space="preserve">1931 to 3977 [1505 to 3266]</w:t>
            </w:r>
          </w:p>
        </w:tc>
        <w:tc>
          <w:tcPr/>
          <w:p>
            <w:pPr>
              <w:pStyle w:val="Compact"/>
            </w:pPr>
            <w:r>
              <w:t xml:space="preserve">–</w:t>
            </w:r>
          </w:p>
        </w:tc>
      </w:tr>
    </w:tbl>
    <w:p>
      <w:pPr>
        <w:pStyle w:val="BodyText"/>
      </w:pPr>
      <w:r>
        <w:rPr>
          <w:b/>
          <w:bCs/>
        </w:rPr>
        <w:t xml:space="preserve">Table S4. Study sites.</w:t>
      </w:r>
      <w:r>
        <w:t xml:space="preserve"> </w:t>
      </w:r>
      <w:r>
        <w:t xml:space="preserve">Core sites (SRS5–FLM30) and context sites (RB10, SE1, MI). Campaigns: month and year (number of chamber closures). Stand structure from terrestrial laser scanning of the four scanned plots (M10); DBH and height include standing dead trunks at the ghost sites; woody surface per m² of ground. FCE LTER: trees &gt; 2.5 cm DBH in two 20 × 20 m plots, 2023 survey (data S2). Water level: at the tidal sites, mean high / low water of the campaign month above the plot’s mean floor (FCE LTER loggers; M11), with the flooded share of the floor in hours; elsewhere, mean (maximum) water depth recorded at chamber positions. Porewater salinity: mean of the porewater samples (M16).</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p>
        </w:tc>
        <w:tc>
          <w:tcPr/>
          <w:p>
            <w:pPr>
              <w:pStyle w:val="Compact"/>
            </w:pPr>
            <w:r>
              <w:t xml:space="preserve">SRS5</w:t>
            </w:r>
          </w:p>
        </w:tc>
        <w:tc>
          <w:tcPr/>
          <w:p>
            <w:pPr>
              <w:pStyle w:val="Compact"/>
            </w:pPr>
            <w:r>
              <w:t xml:space="preserve">SRS6</w:t>
            </w:r>
          </w:p>
        </w:tc>
        <w:tc>
          <w:tcPr/>
          <w:p>
            <w:pPr>
              <w:pStyle w:val="Compact"/>
            </w:pPr>
            <w:r>
              <w:t xml:space="preserve">BL60</w:t>
            </w:r>
          </w:p>
        </w:tc>
        <w:tc>
          <w:tcPr/>
          <w:p>
            <w:pPr>
              <w:pStyle w:val="Compact"/>
            </w:pPr>
            <w:r>
              <w:t xml:space="preserve">CP40</w:t>
            </w:r>
          </w:p>
        </w:tc>
        <w:tc>
          <w:tcPr/>
          <w:p>
            <w:pPr>
              <w:pStyle w:val="Compact"/>
            </w:pPr>
            <w:r>
              <w:t xml:space="preserve">FLM30</w:t>
            </w:r>
          </w:p>
        </w:tc>
        <w:tc>
          <w:tcPr/>
          <w:p>
            <w:pPr>
              <w:pStyle w:val="Compact"/>
            </w:pPr>
            <w:r>
              <w:t xml:space="preserve">RB10</w:t>
            </w:r>
          </w:p>
        </w:tc>
        <w:tc>
          <w:tcPr/>
          <w:p>
            <w:pPr>
              <w:pStyle w:val="Compact"/>
            </w:pPr>
            <w:r>
              <w:t xml:space="preserve">SE1</w:t>
            </w:r>
          </w:p>
        </w:tc>
        <w:tc>
          <w:tcPr/>
          <w:p>
            <w:pPr>
              <w:pStyle w:val="Compact"/>
            </w:pPr>
            <w:r>
              <w:t xml:space="preserve">MI</w:t>
            </w:r>
          </w:p>
        </w:tc>
      </w:tr>
      <w:tr>
        <w:tc>
          <w:tcPr/>
          <w:p>
            <w:pPr>
              <w:pStyle w:val="Compact"/>
            </w:pPr>
            <w:r>
              <w:t xml:space="preserve">Name</w:t>
            </w:r>
          </w:p>
        </w:tc>
        <w:tc>
          <w:tcPr/>
          <w:p>
            <w:pPr>
              <w:pStyle w:val="Compact"/>
            </w:pPr>
            <w:r>
              <w:t xml:space="preserve">Gunboat Island / SRS5</w:t>
            </w:r>
          </w:p>
        </w:tc>
        <w:tc>
          <w:tcPr/>
          <w:p>
            <w:pPr>
              <w:pStyle w:val="Compact"/>
            </w:pPr>
            <w:r>
              <w:t xml:space="preserve">Lower Shark / SRS6</w:t>
            </w:r>
          </w:p>
        </w:tc>
        <w:tc>
          <w:tcPr/>
          <w:p>
            <w:pPr>
              <w:pStyle w:val="Compact"/>
            </w:pPr>
            <w:r>
              <w:t xml:space="preserve">Bear Lake</w:t>
            </w:r>
          </w:p>
        </w:tc>
        <w:tc>
          <w:tcPr/>
          <w:p>
            <w:pPr>
              <w:pStyle w:val="Compact"/>
            </w:pPr>
            <w:r>
              <w:t xml:space="preserve">Christian Point</w:t>
            </w:r>
          </w:p>
        </w:tc>
        <w:tc>
          <w:tcPr/>
          <w:p>
            <w:pPr>
              <w:pStyle w:val="Compact"/>
            </w:pPr>
            <w:r>
              <w:t xml:space="preserve">Flamingo</w:t>
            </w:r>
          </w:p>
        </w:tc>
        <w:tc>
          <w:tcPr/>
          <w:p>
            <w:pPr>
              <w:pStyle w:val="Compact"/>
            </w:pPr>
            <w:r>
              <w:t xml:space="preserve">Rookery Bay</w:t>
            </w:r>
          </w:p>
        </w:tc>
        <w:tc>
          <w:tcPr/>
          <w:p>
            <w:pPr>
              <w:pStyle w:val="Compact"/>
            </w:pPr>
            <w:r>
              <w:t xml:space="preserve">Intrusion marsh (SE-1 / US-EvM)</w:t>
            </w:r>
          </w:p>
        </w:tc>
        <w:tc>
          <w:tcPr/>
          <w:p>
            <w:pPr>
              <w:pStyle w:val="Compact"/>
            </w:pPr>
            <w:r>
              <w:t xml:space="preserve">Marco Island</w:t>
            </w:r>
          </w:p>
        </w:tc>
      </w:tr>
      <w:tr>
        <w:tc>
          <w:tcPr/>
          <w:p>
            <w:pPr>
              <w:pStyle w:val="Compact"/>
            </w:pPr>
            <w:r>
              <w:t xml:space="preserve">Class</w:t>
            </w:r>
          </w:p>
        </w:tc>
        <w:tc>
          <w:tcPr/>
          <w:p>
            <w:pPr>
              <w:pStyle w:val="Compact"/>
            </w:pPr>
            <w:r>
              <w:t xml:space="preserve">intact</w:t>
            </w:r>
          </w:p>
        </w:tc>
        <w:tc>
          <w:tcPr/>
          <w:p>
            <w:pPr>
              <w:pStyle w:val="Compact"/>
            </w:pPr>
            <w:r>
              <w:t xml:space="preserve">intact</w:t>
            </w:r>
          </w:p>
        </w:tc>
        <w:tc>
          <w:tcPr/>
          <w:p>
            <w:pPr>
              <w:pStyle w:val="Compact"/>
            </w:pPr>
            <w:r>
              <w:t xml:space="preserve">regenerating</w:t>
            </w:r>
          </w:p>
        </w:tc>
        <w:tc>
          <w:tcPr/>
          <w:p>
            <w:pPr>
              <w:pStyle w:val="Compact"/>
            </w:pPr>
            <w:r>
              <w:t xml:space="preserve">ghost</w:t>
            </w:r>
          </w:p>
        </w:tc>
        <w:tc>
          <w:tcPr/>
          <w:p>
            <w:pPr>
              <w:pStyle w:val="Compact"/>
            </w:pPr>
            <w:r>
              <w:t xml:space="preserve">ghost</w:t>
            </w:r>
          </w:p>
        </w:tc>
        <w:tc>
          <w:tcPr/>
          <w:p>
            <w:pPr>
              <w:pStyle w:val="Compact"/>
            </w:pPr>
            <w:r>
              <w:t xml:space="preserve">intact (context)</w:t>
            </w:r>
          </w:p>
        </w:tc>
        <w:tc>
          <w:tcPr/>
          <w:p>
            <w:pPr>
              <w:pStyle w:val="Compact"/>
            </w:pPr>
            <w:r>
              <w:t xml:space="preserve">scrub (context)</w:t>
            </w:r>
          </w:p>
        </w:tc>
        <w:tc>
          <w:tcPr/>
          <w:p>
            <w:pPr>
              <w:pStyle w:val="Compact"/>
            </w:pPr>
            <w:r>
              <w:t xml:space="preserve">ghost (context)</w:t>
            </w:r>
          </w:p>
        </w:tc>
      </w:tr>
      <w:tr>
        <w:tc>
          <w:tcPr/>
          <w:p>
            <w:pPr>
              <w:pStyle w:val="Compact"/>
            </w:pPr>
            <w:r>
              <w:t xml:space="preserve">Latitude, longitude</w:t>
            </w:r>
          </w:p>
        </w:tc>
        <w:tc>
          <w:tcPr/>
          <w:p>
            <w:pPr>
              <w:pStyle w:val="Compact"/>
            </w:pPr>
            <w:r>
              <w:t xml:space="preserve">25.3770, -81.0323</w:t>
            </w:r>
          </w:p>
        </w:tc>
        <w:tc>
          <w:tcPr/>
          <w:p>
            <w:pPr>
              <w:pStyle w:val="Compact"/>
            </w:pPr>
            <w:r>
              <w:t xml:space="preserve">25.3646, -81.0779</w:t>
            </w:r>
          </w:p>
        </w:tc>
        <w:tc>
          <w:tcPr/>
          <w:p>
            <w:pPr>
              <w:pStyle w:val="Compact"/>
            </w:pPr>
            <w:r>
              <w:t xml:space="preserve">25.1578, -80.9232</w:t>
            </w:r>
          </w:p>
        </w:tc>
        <w:tc>
          <w:tcPr/>
          <w:p>
            <w:pPr>
              <w:pStyle w:val="Compact"/>
            </w:pPr>
            <w:r>
              <w:t xml:space="preserve">25.1493, -80.9110</w:t>
            </w:r>
          </w:p>
        </w:tc>
        <w:tc>
          <w:tcPr/>
          <w:p>
            <w:pPr>
              <w:pStyle w:val="Compact"/>
            </w:pPr>
            <w:r>
              <w:t xml:space="preserve">25.1599, -80.9120</w:t>
            </w:r>
          </w:p>
        </w:tc>
        <w:tc>
          <w:tcPr/>
          <w:p>
            <w:pPr>
              <w:pStyle w:val="Compact"/>
            </w:pPr>
            <w:r>
              <w:t xml:space="preserve">25.8629, -81.5612</w:t>
            </w:r>
          </w:p>
        </w:tc>
        <w:tc>
          <w:tcPr/>
          <w:p>
            <w:pPr>
              <w:pStyle w:val="Compact"/>
            </w:pPr>
            <w:r>
              <w:t xml:space="preserve">25.3531, -80.3807</w:t>
            </w:r>
          </w:p>
        </w:tc>
        <w:tc>
          <w:tcPr/>
          <w:p>
            <w:pPr>
              <w:pStyle w:val="Compact"/>
            </w:pPr>
            <w:r>
              <w:t xml:space="preserve">25.9303, -81.6725</w:t>
            </w:r>
          </w:p>
        </w:tc>
      </w:tr>
      <w:tr>
        <w:tc>
          <w:tcPr/>
          <w:p>
            <w:pPr>
              <w:pStyle w:val="Compact"/>
            </w:pPr>
            <w:r>
              <w:t xml:space="preserve">Dominant species</w:t>
            </w:r>
          </w:p>
        </w:tc>
        <w:tc>
          <w:tcPr/>
          <w:p>
            <w:pPr>
              <w:pStyle w:val="Compact"/>
            </w:pPr>
            <w:r>
              <w:rPr>
                <w:i/>
                <w:iCs/>
              </w:rPr>
              <w:t xml:space="preserve">Rhizophora mangle</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c>
          <w:tcPr/>
          <w:p>
            <w:pPr>
              <w:pStyle w:val="Compact"/>
            </w:pPr>
            <w:r>
              <w:rPr>
                <w:i/>
                <w:iCs/>
              </w:rPr>
              <w:t xml:space="preserve">Avicennia germinans</w:t>
            </w:r>
            <w:r>
              <w:t xml:space="preserve">,</w:t>
            </w:r>
            <w:r>
              <w:t xml:space="preserve"> </w:t>
            </w:r>
            <w:r>
              <w:rPr>
                <w:i/>
                <w:iCs/>
              </w:rPr>
              <w:t xml:space="preserve">Conocarpus erectus</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r>
      <w:tr>
        <w:tc>
          <w:tcPr/>
          <w:p>
            <w:pPr>
              <w:pStyle w:val="Compact"/>
            </w:pPr>
            <w:r>
              <w:t xml:space="preserve">Campaigns (closures)</w:t>
            </w:r>
          </w:p>
        </w:tc>
        <w:tc>
          <w:tcPr/>
          <w:p>
            <w:pPr>
              <w:pStyle w:val="Compact"/>
            </w:pPr>
            <w:r>
              <w:t xml:space="preserve">Oct 22 (64); Mar 23 (89)</w:t>
            </w:r>
          </w:p>
        </w:tc>
        <w:tc>
          <w:tcPr/>
          <w:p>
            <w:pPr>
              <w:pStyle w:val="Compact"/>
            </w:pPr>
            <w:r>
              <w:t xml:space="preserve">Mar 22 (15); Oct 22 (66); Mar 23 (65)</w:t>
            </w:r>
          </w:p>
        </w:tc>
        <w:tc>
          <w:tcPr/>
          <w:p>
            <w:pPr>
              <w:pStyle w:val="Compact"/>
            </w:pPr>
            <w:r>
              <w:t xml:space="preserve">Mar 22 (27); Oct 22 (44); Mar 23 (68)</w:t>
            </w:r>
          </w:p>
        </w:tc>
        <w:tc>
          <w:tcPr/>
          <w:p>
            <w:pPr>
              <w:pStyle w:val="Compact"/>
            </w:pPr>
            <w:r>
              <w:t xml:space="preserve">Oct 22 (57); Mar 23 (48)</w:t>
            </w:r>
          </w:p>
        </w:tc>
        <w:tc>
          <w:tcPr/>
          <w:p>
            <w:pPr>
              <w:pStyle w:val="Compact"/>
            </w:pPr>
            <w:r>
              <w:t xml:space="preserve">Mar 22 (43); Oct 22 (49); Mar 23 (61)</w:t>
            </w:r>
          </w:p>
        </w:tc>
        <w:tc>
          <w:tcPr/>
          <w:p>
            <w:pPr>
              <w:pStyle w:val="Compact"/>
            </w:pPr>
            <w:r>
              <w:t xml:space="preserve">Mar 22 (10)</w:t>
            </w:r>
          </w:p>
        </w:tc>
        <w:tc>
          <w:tcPr/>
          <w:p>
            <w:pPr>
              <w:pStyle w:val="Compact"/>
            </w:pPr>
            <w:r>
              <w:t xml:space="preserve">Mar 23 (17)</w:t>
            </w:r>
          </w:p>
        </w:tc>
        <w:tc>
          <w:tcPr/>
          <w:p>
            <w:pPr>
              <w:pStyle w:val="Compact"/>
            </w:pPr>
            <w:r>
              <w:t xml:space="preserve">Mar 22 (10); Mar 23 (20)</w:t>
            </w:r>
          </w:p>
        </w:tc>
      </w:tr>
      <w:tr>
        <w:tc>
          <w:tcPr/>
          <w:p>
            <w:pPr>
              <w:pStyle w:val="Compact"/>
            </w:pPr>
            <w:r>
              <w:t xml:space="preserve">Stem density (ha⁻¹)</w:t>
            </w:r>
          </w:p>
        </w:tc>
        <w:tc>
          <w:tcPr/>
          <w:p>
            <w:pPr>
              <w:pStyle w:val="Compact"/>
            </w:pPr>
            <w:r>
              <w:t xml:space="preserve">3,203</w:t>
            </w:r>
          </w:p>
        </w:tc>
        <w:tc>
          <w:tcPr/>
          <w:p>
            <w:pPr>
              <w:pStyle w:val="Compact"/>
            </w:pPr>
            <w:r>
              <w:t xml:space="preserve">1,694</w:t>
            </w:r>
          </w:p>
        </w:tc>
        <w:tc>
          <w:tcPr/>
          <w:p>
            <w:pPr>
              <w:pStyle w:val="Compact"/>
            </w:pPr>
            <w:r>
              <w:t xml:space="preserve">–</w:t>
            </w:r>
          </w:p>
        </w:tc>
        <w:tc>
          <w:tcPr/>
          <w:p>
            <w:pPr>
              <w:pStyle w:val="Compact"/>
            </w:pPr>
            <w:r>
              <w:t xml:space="preserve">552</w:t>
            </w:r>
          </w:p>
        </w:tc>
        <w:tc>
          <w:tcPr/>
          <w:p>
            <w:pPr>
              <w:pStyle w:val="Compact"/>
            </w:pPr>
            <w:r>
              <w:t xml:space="preserve">752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(m² ha⁻¹)</w:t>
            </w:r>
          </w:p>
        </w:tc>
        <w:tc>
          <w:tcPr/>
          <w:p>
            <w:pPr>
              <w:pStyle w:val="Compact"/>
            </w:pPr>
            <w:r>
              <w:t xml:space="preserve">24.5</w:t>
            </w:r>
          </w:p>
        </w:tc>
        <w:tc>
          <w:tcPr/>
          <w:p>
            <w:pPr>
              <w:pStyle w:val="Compact"/>
            </w:pPr>
            <w:r>
              <w:t xml:space="preserve">19.1</w:t>
            </w:r>
          </w:p>
        </w:tc>
        <w:tc>
          <w:tcPr/>
          <w:p>
            <w:pPr>
              <w:pStyle w:val="Compact"/>
            </w:pPr>
            <w:r>
              <w:t xml:space="preserve">–</w:t>
            </w:r>
          </w:p>
        </w:tc>
        <w:tc>
          <w:tcPr/>
          <w:p>
            <w:pPr>
              <w:pStyle w:val="Compact"/>
            </w:pPr>
            <w:r>
              <w:t xml:space="preserve">6.5</w:t>
            </w:r>
          </w:p>
        </w:tc>
        <w:tc>
          <w:tcPr/>
          <w:p>
            <w:pPr>
              <w:pStyle w:val="Compact"/>
            </w:pPr>
            <w:r>
              <w:t xml:space="preserve">5.6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Tree height, mean / 95th pct. (m)</w:t>
            </w:r>
          </w:p>
        </w:tc>
        <w:tc>
          <w:tcPr/>
          <w:p>
            <w:pPr>
              <w:pStyle w:val="Compact"/>
            </w:pPr>
            <w:r>
              <w:t xml:space="preserve">7.6 / 14.7</w:t>
            </w:r>
          </w:p>
        </w:tc>
        <w:tc>
          <w:tcPr/>
          <w:p>
            <w:pPr>
              <w:pStyle w:val="Compact"/>
            </w:pPr>
            <w:r>
              <w:t xml:space="preserve">8.6 / 19.2</w:t>
            </w:r>
          </w:p>
        </w:tc>
        <w:tc>
          <w:tcPr/>
          <w:p>
            <w:pPr>
              <w:pStyle w:val="Compact"/>
            </w:pPr>
            <w:r>
              <w:t xml:space="preserve">–</w:t>
            </w:r>
          </w:p>
        </w:tc>
        <w:tc>
          <w:tcPr/>
          <w:p>
            <w:pPr>
              <w:pStyle w:val="Compact"/>
            </w:pPr>
            <w:r>
              <w:t xml:space="preserve">6.1 / 11.8</w:t>
            </w:r>
          </w:p>
        </w:tc>
        <w:tc>
          <w:tcPr/>
          <w:p>
            <w:pPr>
              <w:pStyle w:val="Compact"/>
            </w:pPr>
            <w:r>
              <w:t xml:space="preserve">5.6 / 9.4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Mean DBH (cm)</w:t>
            </w:r>
          </w:p>
        </w:tc>
        <w:tc>
          <w:tcPr/>
          <w:p>
            <w:pPr>
              <w:pStyle w:val="Compact"/>
            </w:pPr>
            <w:r>
              <w:t xml:space="preserve">8.9</w:t>
            </w:r>
          </w:p>
        </w:tc>
        <w:tc>
          <w:tcPr/>
          <w:p>
            <w:pPr>
              <w:pStyle w:val="Compact"/>
            </w:pPr>
            <w:r>
              <w:t xml:space="preserve">10.6</w:t>
            </w:r>
          </w:p>
        </w:tc>
        <w:tc>
          <w:tcPr/>
          <w:p>
            <w:pPr>
              <w:pStyle w:val="Compact"/>
            </w:pPr>
            <w:r>
              <w:t xml:space="preserve">–</w:t>
            </w:r>
          </w:p>
        </w:tc>
        <w:tc>
          <w:tcPr/>
          <w:p>
            <w:pPr>
              <w:pStyle w:val="Compact"/>
            </w:pPr>
            <w:r>
              <w:t xml:space="preserve">10.8</w:t>
            </w:r>
          </w:p>
        </w:tc>
        <w:tc>
          <w:tcPr/>
          <w:p>
            <w:pPr>
              <w:pStyle w:val="Compact"/>
            </w:pPr>
            <w:r>
              <w:t xml:space="preserve">9.0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Woody surface, stem / root (m² m⁻²)</w:t>
            </w:r>
          </w:p>
        </w:tc>
        <w:tc>
          <w:tcPr/>
          <w:p>
            <w:pPr>
              <w:pStyle w:val="Compact"/>
            </w:pPr>
            <w:r>
              <w:t xml:space="preserve">0.98 / 0.24</w:t>
            </w:r>
          </w:p>
        </w:tc>
        <w:tc>
          <w:tcPr/>
          <w:p>
            <w:pPr>
              <w:pStyle w:val="Compact"/>
            </w:pPr>
            <w:r>
              <w:t xml:space="preserve">0.86 / 0.19</w:t>
            </w:r>
          </w:p>
        </w:tc>
        <w:tc>
          <w:tcPr/>
          <w:p>
            <w:pPr>
              <w:pStyle w:val="Compact"/>
            </w:pPr>
            <w:r>
              <w:t xml:space="preserve">–</w:t>
            </w:r>
          </w:p>
        </w:tc>
        <w:tc>
          <w:tcPr/>
          <w:p>
            <w:pPr>
              <w:pStyle w:val="Compact"/>
            </w:pPr>
            <w:r>
              <w:t xml:space="preserve">0.22 / 0.03</w:t>
            </w:r>
          </w:p>
        </w:tc>
        <w:tc>
          <w:tcPr/>
          <w:p>
            <w:pPr>
              <w:pStyle w:val="Compact"/>
            </w:pPr>
            <w:r>
              <w:t xml:space="preserve">0.17 / 0.02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Stem density / basal area, FCE LTER 2023 (ha⁻¹ / m² ha⁻¹)</w:t>
            </w:r>
          </w:p>
        </w:tc>
        <w:tc>
          <w:tcPr/>
          <w:p>
            <w:pPr>
              <w:pStyle w:val="Compact"/>
            </w:pPr>
            <w:r>
              <w:t xml:space="preserve">2,525 / 25.0</w:t>
            </w:r>
          </w:p>
        </w:tc>
        <w:tc>
          <w:tcPr/>
          <w:p>
            <w:pPr>
              <w:pStyle w:val="Compact"/>
            </w:pPr>
            <w:r>
              <w:t xml:space="preserve">1,712 / 21.0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by species, FCE LTER 2023 (%)</w:t>
            </w:r>
          </w:p>
        </w:tc>
        <w:tc>
          <w:tcPr/>
          <w:p>
            <w:pPr>
              <w:pStyle w:val="Compact"/>
            </w:pPr>
            <w:r>
              <w:rPr>
                <w:i/>
                <w:iCs/>
              </w:rPr>
              <w:t xml:space="preserve">R. mangle</w:t>
            </w:r>
            <w:r>
              <w:t xml:space="preserve"> </w:t>
            </w:r>
            <w:r>
              <w:t xml:space="preserve">75,</w:t>
            </w:r>
            <w:r>
              <w:t xml:space="preserve"> </w:t>
            </w:r>
            <w:r>
              <w:rPr>
                <w:i/>
                <w:iCs/>
              </w:rPr>
              <w:t xml:space="preserve">L. racemosa</w:t>
            </w:r>
            <w:r>
              <w:t xml:space="preserve"> </w:t>
            </w:r>
            <w:r>
              <w:t xml:space="preserve">15,</w:t>
            </w:r>
            <w:r>
              <w:t xml:space="preserve"> </w:t>
            </w:r>
            <w:r>
              <w:rPr>
                <w:i/>
                <w:iCs/>
              </w:rPr>
              <w:t xml:space="preserve">A. germinans</w:t>
            </w:r>
            <w:r>
              <w:t xml:space="preserve"> </w:t>
            </w:r>
            <w:r>
              <w:t xml:space="preserve">10</w:t>
            </w:r>
          </w:p>
        </w:tc>
        <w:tc>
          <w:tcPr/>
          <w:p>
            <w:pPr>
              <w:pStyle w:val="Compact"/>
            </w:pPr>
            <w:r>
              <w:rPr>
                <w:i/>
                <w:iCs/>
              </w:rPr>
              <w:t xml:space="preserve">R. mangle</w:t>
            </w:r>
            <w:r>
              <w:t xml:space="preserve"> </w:t>
            </w:r>
            <w:r>
              <w:t xml:space="preserve">43,</w:t>
            </w:r>
            <w:r>
              <w:t xml:space="preserve"> </w:t>
            </w:r>
            <w:r>
              <w:rPr>
                <w:i/>
                <w:iCs/>
              </w:rPr>
              <w:t xml:space="preserve">A. germinans</w:t>
            </w:r>
            <w:r>
              <w:t xml:space="preserve"> </w:t>
            </w:r>
            <w:r>
              <w:t xml:space="preserve">41,</w:t>
            </w:r>
            <w:r>
              <w:t xml:space="preserve"> </w:t>
            </w:r>
            <w:r>
              <w:rPr>
                <w:i/>
                <w:iCs/>
              </w:rPr>
              <w:t xml:space="preserve">L. racemosa</w:t>
            </w:r>
            <w:r>
              <w:t xml:space="preserve"> </w:t>
            </w:r>
            <w:r>
              <w:t xml:space="preserve">16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Water level (cm)</w:t>
            </w:r>
          </w:p>
        </w:tc>
        <w:tc>
          <w:tcPr/>
          <w:p>
            <w:pPr>
              <w:pStyle w:val="Compact"/>
            </w:pPr>
            <w:r>
              <w:t xml:space="preserve">Oct 22: +12 / -1 (62%); Mar 23: 0 / -7 (37%)</w:t>
            </w:r>
          </w:p>
        </w:tc>
        <w:tc>
          <w:tcPr/>
          <w:p>
            <w:pPr>
              <w:pStyle w:val="Compact"/>
            </w:pPr>
            <w:r>
              <w:t xml:space="preserve">Oct 22: +29 / +1 (74%); Mar 23: +17 / -5 (55%)</w:t>
            </w:r>
          </w:p>
        </w:tc>
        <w:tc>
          <w:tcPr/>
          <w:p>
            <w:pPr>
              <w:pStyle w:val="Compact"/>
            </w:pPr>
            <w:r>
              <w:t xml:space="preserve">Oct 22: 6 (15); Mar 23: 0 (0)</w:t>
            </w:r>
          </w:p>
        </w:tc>
        <w:tc>
          <w:tcPr/>
          <w:p>
            <w:pPr>
              <w:pStyle w:val="Compact"/>
            </w:pPr>
            <w:r>
              <w:t xml:space="preserve">Oct 22: 11 (23); Mar 23: 9 (24)</w:t>
            </w:r>
          </w:p>
        </w:tc>
        <w:tc>
          <w:tcPr/>
          <w:p>
            <w:pPr>
              <w:pStyle w:val="Compact"/>
            </w:pPr>
            <w:r>
              <w:t xml:space="preserve">Oct 22: 16 (31); Mar 23: 6 (27)</w:t>
            </w:r>
          </w:p>
        </w:tc>
        <w:tc>
          <w:tcPr/>
          <w:p>
            <w:pPr>
              <w:pStyle w:val="Compact"/>
            </w:pPr>
            <w:r>
              <w:t xml:space="preserve">–</w:t>
            </w:r>
          </w:p>
        </w:tc>
        <w:tc>
          <w:tcPr/>
          <w:p>
            <w:pPr>
              <w:pStyle w:val="Compact"/>
            </w:pPr>
            <w:r>
              <w:t xml:space="preserve">Mar 23: 11 (15)</w:t>
            </w:r>
          </w:p>
        </w:tc>
        <w:tc>
          <w:tcPr/>
          <w:p>
            <w:pPr>
              <w:pStyle w:val="Compact"/>
            </w:pPr>
            <w:r>
              <w:t xml:space="preserve">Mar 23: 0 (1)</w:t>
            </w:r>
          </w:p>
        </w:tc>
      </w:tr>
      <w:tr>
        <w:tc>
          <w:tcPr/>
          <w:p>
            <w:pPr>
              <w:pStyle w:val="Compact"/>
            </w:pPr>
            <w:r>
              <w:t xml:space="preserve">Porewater salinity (PSU)</w:t>
            </w:r>
          </w:p>
        </w:tc>
        <w:tc>
          <w:tcPr/>
          <w:p>
            <w:pPr>
              <w:pStyle w:val="Compact"/>
            </w:pPr>
            <w:r>
              <w:t xml:space="preserve">Oct 22: 20; Oct 25: 20</w:t>
            </w:r>
          </w:p>
        </w:tc>
        <w:tc>
          <w:tcPr/>
          <w:p>
            <w:pPr>
              <w:pStyle w:val="Compact"/>
            </w:pPr>
            <w:r>
              <w:t xml:space="preserve">Oct 22: 27; Oct 25: 29</w:t>
            </w:r>
          </w:p>
        </w:tc>
        <w:tc>
          <w:tcPr/>
          <w:p>
            <w:pPr>
              <w:pStyle w:val="Compact"/>
            </w:pPr>
            <w:r>
              <w:t xml:space="preserve">Oct 22: 38; Mar 23: 38; Oct 25: 35</w:t>
            </w:r>
          </w:p>
        </w:tc>
        <w:tc>
          <w:tcPr/>
          <w:p>
            <w:pPr>
              <w:pStyle w:val="Compact"/>
            </w:pPr>
            <w:r>
              <w:t xml:space="preserve">Oct 22: 59; Mar 23: 63; Oct 25: 49</w:t>
            </w:r>
          </w:p>
        </w:tc>
        <w:tc>
          <w:tcPr/>
          <w:p>
            <w:pPr>
              <w:pStyle w:val="Compact"/>
            </w:pPr>
            <w:r>
              <w:t xml:space="preserve">Oct 22: 64; Mar 23: 61</w:t>
            </w:r>
          </w:p>
        </w:tc>
        <w:tc>
          <w:tcPr/>
          <w:p>
            <w:pPr>
              <w:pStyle w:val="Compact"/>
            </w:pPr>
            <w:r>
              <w:t xml:space="preserve">–</w:t>
            </w:r>
          </w:p>
        </w:tc>
        <w:tc>
          <w:tcPr/>
          <w:p>
            <w:pPr>
              <w:pStyle w:val="Compact"/>
            </w:pPr>
            <w:r>
              <w:t xml:space="preserve">Mar 23: 8</w:t>
            </w:r>
          </w:p>
        </w:tc>
        <w:tc>
          <w:tcPr/>
          <w:p>
            <w:pPr>
              <w:pStyle w:val="Compact"/>
            </w:pPr>
            <w:r>
              <w:t xml:space="preserve">–</w:t>
            </w:r>
          </w:p>
        </w:tc>
      </w:tr>
    </w:tbl>
    <w:p>
      <w:pPr>
        <w:pStyle w:val="BodyText"/>
      </w:pPr>
      <w:r>
        <w:rPr>
          <w:b/>
          <w:bCs/>
        </w:rPr>
        <w:t xml:space="preserve">Table S5.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S6.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33.89)</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3.96)</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(-2.29 to -0.34)</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(-3.33 to -1.24)</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(0.40 to 2.11)</w:t>
            </w:r>
          </w:p>
        </w:tc>
        <w:tc>
          <w:tcPr/>
          <w:p>
            <w:pPr>
              <w:pStyle w:val="Compact"/>
            </w:pPr>
            <w:r>
              <w:t xml:space="preserve">2.26 (1.25 to 3.57)</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(0.66 to 14.59)</w:t>
            </w:r>
          </w:p>
        </w:tc>
        <w:tc>
          <w:tcPr/>
          <w:p>
            <w:pPr>
              <w:pStyle w:val="Compact"/>
            </w:pPr>
            <w:r>
              <w:t xml:space="preserve">2.17 (1.16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3.11)</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5.19)</w:t>
            </w:r>
          </w:p>
        </w:tc>
        <w:tc>
          <w:tcPr/>
          <w:p>
            <w:pPr>
              <w:pStyle w:val="Compact"/>
            </w:pPr>
            <w:r>
              <w:t xml:space="preserve">0.54 (0.05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(4.88 to 21.68)</w:t>
            </w:r>
          </w:p>
        </w:tc>
        <w:tc>
          <w:tcPr/>
          <w:p>
            <w:pPr>
              <w:pStyle w:val="Compact"/>
            </w:pPr>
            <w:r>
              <w:t xml:space="preserve">1.49 (0.92 to 2.03)</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2.16)</w:t>
            </w:r>
          </w:p>
        </w:tc>
        <w:tc>
          <w:tcPr/>
          <w:p>
            <w:pPr>
              <w:pStyle w:val="Compact"/>
            </w:pPr>
            <w:r>
              <w:t xml:space="preserve">1.29 (1.04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(5.58 to 20.96)</w:t>
            </w:r>
          </w:p>
        </w:tc>
        <w:tc>
          <w:tcPr/>
          <w:p>
            <w:pPr>
              <w:pStyle w:val="Compact"/>
            </w:pPr>
            <w:r>
              <w:t xml:space="preserve">1.97 (1.09 to 3.01)</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(28.00 to 93.95)</w:t>
            </w:r>
          </w:p>
        </w:tc>
        <w:tc>
          <w:tcPr/>
          <w:p>
            <w:pPr>
              <w:pStyle w:val="Compact"/>
            </w:pPr>
            <w:r>
              <w:t xml:space="preserve">8.70 (6.76 to 10.85)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(4.74 to 10.61)</w:t>
            </w:r>
          </w:p>
        </w:tc>
        <w:tc>
          <w:tcPr/>
          <w:p>
            <w:pPr>
              <w:pStyle w:val="Compact"/>
            </w:pPr>
            <w:r>
              <w:t xml:space="preserve">1.84 (1.43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(8.71 to 30.17)</w:t>
            </w:r>
          </w:p>
        </w:tc>
        <w:tc>
          <w:tcPr/>
          <w:p>
            <w:pPr>
              <w:pStyle w:val="Compact"/>
            </w:pPr>
            <w:r>
              <w:t xml:space="preserve">2.70 (2.22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0.63)</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(0.39 to 2.10)</w:t>
            </w:r>
          </w:p>
        </w:tc>
        <w:tc>
          <w:tcPr/>
          <w:p>
            <w:pPr>
              <w:pStyle w:val="Compact"/>
            </w:pPr>
            <w:r>
              <w:t xml:space="preserve">3.74 (3.15 to 4.35)</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(6.98 to 81.66)</w:t>
            </w:r>
          </w:p>
        </w:tc>
        <w:tc>
          <w:tcPr/>
          <w:p>
            <w:pPr>
              <w:pStyle w:val="Compact"/>
            </w:pPr>
            <w:r>
              <w:t xml:space="preserve">7.33 (5.40 to 9.70)</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0.70)</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(5.35 to 7.44)</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(22.03 to 63.04)</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(0.52 to 1.21)</w:t>
            </w:r>
          </w:p>
        </w:tc>
        <w:tc>
          <w:tcPr/>
          <w:p>
            <w:pPr>
              <w:pStyle w:val="Compact"/>
            </w:pPr>
            <w:r>
              <w:t xml:space="preserve">1.37 (1.16 to 1.59)</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88.92)</w:t>
            </w:r>
          </w:p>
        </w:tc>
        <w:tc>
          <w:tcPr/>
          <w:p>
            <w:pPr>
              <w:pStyle w:val="Compact"/>
            </w:pPr>
            <w:r>
              <w:t xml:space="preserve">2.06 (1.70 to 2.51)</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70.17</w:t>
            </w:r>
          </w:p>
        </w:tc>
        <w:tc>
          <w:tcPr/>
          <w:p>
            <w:pPr>
              <w:pStyle w:val="Compact"/>
            </w:pPr>
            <w:r>
              <w:t xml:space="preserve">0.26</w:t>
            </w:r>
          </w:p>
        </w:tc>
        <w:tc>
          <w:tcPr/>
          <w:p>
            <w:pPr>
              <w:pStyle w:val="Compact"/>
            </w:pPr>
            <w:r>
              <w:t xml:space="preserve">70.77</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0.03</w:t>
            </w:r>
          </w:p>
        </w:tc>
        <w:tc>
          <w:tcPr/>
          <w:p>
            <w:pPr>
              <w:pStyle w:val="Compact"/>
            </w:pPr>
            <w:r>
              <w:t xml:space="preserve">8.24</w:t>
            </w:r>
          </w:p>
        </w:tc>
        <w:tc>
          <w:tcPr/>
          <w:p>
            <w:pPr>
              <w:pStyle w:val="Compact"/>
            </w:pPr>
            <w:r>
              <w:t xml:space="preserve">5.91</w:t>
            </w:r>
          </w:p>
        </w:tc>
        <w:tc>
          <w:tcPr/>
          <w:p>
            <w:pPr>
              <w:pStyle w:val="Compact"/>
            </w:pPr>
            <w:r>
              <w:t xml:space="preserve">-0.01</w:t>
            </w:r>
          </w:p>
        </w:tc>
        <w:tc>
          <w:tcPr/>
          <w:p>
            <w:pPr>
              <w:pStyle w:val="Compact"/>
            </w:pPr>
            <w:r>
              <w:t xml:space="preserve">14.32</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28.77</w:t>
            </w:r>
          </w:p>
        </w:tc>
        <w:tc>
          <w:tcPr/>
          <w:p>
            <w:pPr>
              <w:pStyle w:val="Compact"/>
            </w:pPr>
            <w:r>
              <w:t xml:space="preserve">0.00</w:t>
            </w:r>
          </w:p>
        </w:tc>
        <w:tc>
          <w:tcPr/>
          <w:p>
            <w:pPr>
              <w:pStyle w:val="Compact"/>
            </w:pPr>
            <w:r>
              <w:t xml:space="preserve">28.93</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8.17</w:t>
            </w:r>
          </w:p>
        </w:tc>
        <w:tc>
          <w:tcPr/>
          <w:p>
            <w:pPr>
              <w:pStyle w:val="Compact"/>
            </w:pPr>
            <w:r>
              <w:t xml:space="preserve">-0.02</w:t>
            </w:r>
          </w:p>
        </w:tc>
        <w:tc>
          <w:tcPr/>
          <w:p>
            <w:pPr>
              <w:pStyle w:val="Compact"/>
            </w:pPr>
            <w:r>
              <w:t xml:space="preserve">16.34</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0.58</w:t>
            </w:r>
          </w:p>
        </w:tc>
        <w:tc>
          <w:tcPr/>
          <w:p>
            <w:pPr>
              <w:pStyle w:val="Compact"/>
            </w:pPr>
            <w:r>
              <w:t xml:space="preserve">0.10</w:t>
            </w:r>
          </w:p>
        </w:tc>
        <w:tc>
          <w:tcPr/>
          <w:p>
            <w:pPr>
              <w:pStyle w:val="Compact"/>
            </w:pPr>
            <w:r>
              <w:t xml:space="preserve">1.59</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0.40</w:t>
            </w:r>
          </w:p>
        </w:tc>
        <w:tc>
          <w:tcPr/>
          <w:p>
            <w:pPr>
              <w:pStyle w:val="Compact"/>
            </w:pPr>
            <w:r>
              <w:t xml:space="preserve">0.28</w:t>
            </w:r>
          </w:p>
        </w:tc>
        <w:tc>
          <w:tcPr/>
          <w:p>
            <w:pPr>
              <w:pStyle w:val="Compact"/>
            </w:pPr>
            <w:r>
              <w:t xml:space="preserve">0.29</w:t>
            </w:r>
          </w:p>
        </w:tc>
        <w:tc>
          <w:tcPr/>
          <w:p>
            <w:pPr>
              <w:pStyle w:val="Compact"/>
            </w:pPr>
            <w:r>
              <w:t xml:space="preserve">0.04</w:t>
            </w:r>
          </w:p>
        </w:tc>
        <w:tc>
          <w:tcPr/>
          <w:p>
            <w:pPr>
              <w:pStyle w:val="Compact"/>
            </w:pPr>
            <w:r>
              <w:t xml:space="preserve">1.06</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5.79</w:t>
            </w:r>
          </w:p>
        </w:tc>
        <w:tc>
          <w:tcPr/>
          <w:p>
            <w:pPr>
              <w:pStyle w:val="Compact"/>
            </w:pPr>
            <w:r>
              <w:t xml:space="preserve">0.65</w:t>
            </w:r>
          </w:p>
        </w:tc>
        <w:tc>
          <w:tcPr/>
          <w:p>
            <w:pPr>
              <w:pStyle w:val="Compact"/>
            </w:pPr>
            <w:r>
              <w:t xml:space="preserve">0.08</w:t>
            </w:r>
          </w:p>
        </w:tc>
        <w:tc>
          <w:tcPr/>
          <w:p>
            <w:pPr>
              <w:pStyle w:val="Compact"/>
            </w:pPr>
            <w:r>
              <w:t xml:space="preserve">10.38</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3.52</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0.36</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0.62</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5.29</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0.28</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0.41</w:t>
            </w:r>
          </w:p>
        </w:tc>
        <w:tc>
          <w:tcPr/>
          <w:p>
            <w:pPr>
              <w:pStyle w:val="Compact"/>
            </w:pPr>
            <w:r>
              <w:t xml:space="preserve">0.34</w:t>
            </w:r>
          </w:p>
        </w:tc>
        <w:tc>
          <w:tcPr/>
          <w:p>
            <w:pPr>
              <w:pStyle w:val="Compact"/>
            </w:pPr>
            <w:r>
              <w:t xml:space="preserve">2.00</w:t>
            </w:r>
          </w:p>
        </w:tc>
        <w:tc>
          <w:tcPr/>
          <w:p>
            <w:pPr>
              <w:pStyle w:val="Compact"/>
            </w:pPr>
            <w:r>
              <w:t xml:space="preserve">5.15</w:t>
            </w:r>
          </w:p>
        </w:tc>
        <w:tc>
          <w:tcPr/>
          <w:p>
            <w:pPr>
              <w:pStyle w:val="Compact"/>
            </w:pPr>
            <w:r>
              <w:t xml:space="preserve">7.12</w:t>
            </w:r>
          </w:p>
        </w:tc>
        <w:tc>
          <w:tcPr/>
          <w:p>
            <w:pPr>
              <w:pStyle w:val="Compact"/>
            </w:pPr>
            <w:r>
              <w:t xml:space="preserve">-1.97</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50.73 (25.74 to 86.19)</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20.79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(0.31 to 1.17)</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(0.88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0.69 (0.23 to 3.88)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15.56 (0.87 to 43.55)</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15.94 (7.93 to 28.71)</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0.64 (0.21 to 3.64)</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0.84 (0.65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5.30 (4.13 to 6.59)</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7.27 (5.91 to 8.87)</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1.23 (0.40 to 2.70)</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(0.11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0.70 (0.09 to 1.63)</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3.55 (2.23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0.62)</w:t>
            </w:r>
          </w:p>
        </w:tc>
        <w:tc>
          <w:tcPr/>
          <w:p>
            <w:pPr>
              <w:pStyle w:val="Compact"/>
            </w:pPr>
            <w:r>
              <w:t xml:space="preserve">5</w:t>
            </w:r>
          </w:p>
        </w:tc>
        <w:tc>
          <w:tcPr/>
          <w:p>
            <w:pPr>
              <w:pStyle w:val="Compact"/>
            </w:pPr>
            <w:r>
              <w:t xml:space="preserve">site</w:t>
            </w:r>
          </w:p>
        </w:tc>
      </w:tr>
    </w:tbl>
    <w:p>
      <w:pPr>
        <w:pStyle w:val="BodyText"/>
      </w:pPr>
      <w:r>
        <w:rPr>
          <w:b/>
          <w:bCs/>
        </w:rPr>
        <w:t xml:space="preserve">Table S8.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S9.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1.51</w:t>
            </w:r>
          </w:p>
        </w:tc>
        <w:tc>
          <w:tcPr/>
          <w:p>
            <w:pPr>
              <w:pStyle w:val="Compact"/>
            </w:pPr>
            <w:r>
              <w:t xml:space="preserve">-3 743</w:t>
            </w:r>
          </w:p>
        </w:tc>
        <w:tc>
          <w:tcPr/>
          <w:p>
            <w:pPr>
              <w:pStyle w:val="Compact"/>
            </w:pPr>
            <w:r>
              <w:t xml:space="preserve">-3 620</w:t>
            </w:r>
          </w:p>
        </w:tc>
        <w:tc>
          <w:tcPr/>
          <w:p>
            <w:pPr>
              <w:pStyle w:val="Compact"/>
            </w:pPr>
            <w:r>
              <w:t xml:space="preserve">-5 203 to -1 895</w:t>
            </w:r>
          </w:p>
        </w:tc>
        <w:tc>
          <w:tcPr/>
          <w:p>
            <w:pPr>
              <w:pStyle w:val="Compact"/>
            </w:pPr>
            <w:r>
              <w:t xml:space="preserve">-3 701</w:t>
            </w:r>
          </w:p>
        </w:tc>
        <w:tc>
          <w:tcPr/>
          <w:p>
            <w:pPr>
              <w:pStyle w:val="Compact"/>
            </w:pPr>
            <w:r>
              <w:t xml:space="preserve">-5 279 to -1 992</w:t>
            </w:r>
          </w:p>
        </w:tc>
        <w:tc>
          <w:tcPr/>
          <w:p>
            <w:pPr>
              <w:pStyle w:val="Compact"/>
            </w:pPr>
            <w:r>
              <w:t xml:space="preserve">-3 731</w:t>
            </w:r>
          </w:p>
        </w:tc>
        <w:tc>
          <w:tcPr/>
          <w:p>
            <w:pPr>
              <w:pStyle w:val="Compact"/>
            </w:pPr>
            <w:r>
              <w:t xml:space="preserve">3.2%</w:t>
            </w:r>
          </w:p>
        </w:tc>
      </w:tr>
      <w:tr>
        <w:tc>
          <w:tcPr/>
          <w:p>
            <w:pPr>
              <w:pStyle w:val="Compact"/>
            </w:pPr>
            <w:r>
              <w:t xml:space="preserve">ghost</w:t>
            </w:r>
          </w:p>
        </w:tc>
        <w:tc>
          <w:tcPr/>
          <w:p>
            <w:pPr>
              <w:pStyle w:val="Compact"/>
            </w:pPr>
            <w:r>
              <w:t xml:space="preserve">11.90</w:t>
            </w:r>
          </w:p>
        </w:tc>
        <w:tc>
          <w:tcPr/>
          <w:p>
            <w:pPr>
              <w:pStyle w:val="Compact"/>
            </w:pPr>
            <w:r>
              <w:t xml:space="preserve">1 810</w:t>
            </w:r>
          </w:p>
        </w:tc>
        <w:tc>
          <w:tcPr/>
          <w:p>
            <w:pPr>
              <w:pStyle w:val="Compact"/>
            </w:pPr>
            <w:r>
              <w:t xml:space="preserve">2 776</w:t>
            </w:r>
          </w:p>
        </w:tc>
        <w:tc>
          <w:tcPr/>
          <w:p>
            <w:pPr>
              <w:pStyle w:val="Compact"/>
            </w:pPr>
            <w:r>
              <w:t xml:space="preserve">1 931 to 3 977</w:t>
            </w:r>
          </w:p>
        </w:tc>
        <w:tc>
          <w:tcPr/>
          <w:p>
            <w:pPr>
              <w:pStyle w:val="Compact"/>
            </w:pPr>
            <w:r>
              <w:t xml:space="preserve">2 142</w:t>
            </w:r>
          </w:p>
        </w:tc>
        <w:tc>
          <w:tcPr/>
          <w:p>
            <w:pPr>
              <w:pStyle w:val="Compact"/>
            </w:pPr>
            <w:r>
              <w:t xml:space="preserve">1 505 to 3 266</w:t>
            </w:r>
          </w:p>
        </w:tc>
        <w:tc>
          <w:tcPr/>
          <w:p>
            <w:pPr>
              <w:pStyle w:val="Compact"/>
            </w:pPr>
            <w:r>
              <w:t xml:space="preserve">3 134</w:t>
            </w:r>
          </w:p>
        </w:tc>
        <w:tc>
          <w:tcPr/>
          <w:p>
            <w:pPr>
              <w:pStyle w:val="Compact"/>
            </w:pPr>
            <w:r>
              <w:t xml:space="preserve">34.8%</w:t>
            </w:r>
          </w:p>
        </w:tc>
      </w:tr>
    </w:tbl>
    <w:p>
      <w:pPr>
        <w:pStyle w:val="BodyText"/>
      </w:pPr>
      <w:r>
        <w:rPr>
          <w:b/>
          <w:bCs/>
        </w:rPr>
        <w:t xml:space="preserve">Table S10. Airborne end-member fluxes</w:t>
      </w:r>
      <w:r>
        <w:t xml:space="preserve"> </w:t>
      </w:r>
      <w:r>
        <w:t xml:space="preserve">(two-class disaggregation, Delaria et al. 2024) and the airborne check of the ghost-forest inundation representation (text S8).</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S11.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0.665 (0.398 to 0.955)</w:t>
            </w:r>
          </w:p>
        </w:tc>
        <w:tc>
          <w:tcPr/>
          <w:p>
            <w:pPr>
              <w:pStyle w:val="Compact"/>
            </w:pPr>
            <w:r>
              <w:t xml:space="preserve">0.608</w:t>
            </w:r>
          </w:p>
        </w:tc>
        <w:tc>
          <w:tcPr/>
          <w:p>
            <w:pPr>
              <w:pStyle w:val="Compact"/>
            </w:pPr>
            <w:r>
              <w:t xml:space="preserve">0.714</w:t>
            </w:r>
          </w:p>
        </w:tc>
        <w:tc>
          <w:tcPr/>
          <w:p>
            <w:pPr>
              <w:pStyle w:val="Compact"/>
            </w:pPr>
            <w:r>
              <w:t xml:space="preserve">1.080 (0.328 to 1.830)</w:t>
            </w:r>
          </w:p>
        </w:tc>
      </w:tr>
      <w:tr>
        <w:tc>
          <w:tcPr/>
          <w:p>
            <w:pPr>
              <w:pStyle w:val="Compact"/>
            </w:pPr>
            <w:r>
              <w:t xml:space="preserve">United States</w:t>
            </w:r>
          </w:p>
        </w:tc>
        <w:tc>
          <w:tcPr/>
          <w:p>
            <w:pPr>
              <w:pStyle w:val="Compact"/>
            </w:pPr>
            <w:r>
              <w:t xml:space="preserve">60.09</w:t>
            </w:r>
          </w:p>
        </w:tc>
        <w:tc>
          <w:tcPr/>
          <w:p>
            <w:pPr>
              <w:pStyle w:val="Compact"/>
            </w:pPr>
            <w:r>
              <w:t xml:space="preserve">0.384 (0.230 to 0.552)</w:t>
            </w:r>
          </w:p>
        </w:tc>
        <w:tc>
          <w:tcPr/>
          <w:p>
            <w:pPr>
              <w:pStyle w:val="Compact"/>
            </w:pPr>
            <w:r>
              <w:t xml:space="preserve">0.351</w:t>
            </w:r>
          </w:p>
        </w:tc>
        <w:tc>
          <w:tcPr/>
          <w:p>
            <w:pPr>
              <w:pStyle w:val="Compact"/>
            </w:pPr>
            <w:r>
              <w:t xml:space="preserve">0.413</w:t>
            </w:r>
          </w:p>
        </w:tc>
        <w:tc>
          <w:tcPr/>
          <w:p>
            <w:pPr>
              <w:pStyle w:val="Compact"/>
            </w:pPr>
            <w:r>
              <w:t xml:space="preserve">0.624 (0.189 to 1.057)</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0.095)</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1.109 (0.664 to 1.592)</w:t>
            </w:r>
          </w:p>
        </w:tc>
        <w:tc>
          <w:tcPr/>
          <w:p>
            <w:pPr>
              <w:pStyle w:val="Compact"/>
            </w:pPr>
            <w:r>
              <w:t xml:space="preserve">1.013</w:t>
            </w:r>
          </w:p>
        </w:tc>
        <w:tc>
          <w:tcPr/>
          <w:p>
            <w:pPr>
              <w:pStyle w:val="Compact"/>
            </w:pPr>
            <w:r>
              <w:t xml:space="preserve">1.191</w:t>
            </w:r>
          </w:p>
        </w:tc>
        <w:tc>
          <w:tcPr/>
          <w:p>
            <w:pPr>
              <w:pStyle w:val="Compact"/>
            </w:pPr>
            <w:r>
              <w:t xml:space="preserve">1.801 (0.547 to 3.051)</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(0.63 to 1.52)</w:t>
            </w:r>
          </w:p>
        </w:tc>
        <w:tc>
          <w:tcPr/>
          <w:p>
            <w:pPr>
              <w:pStyle w:val="Compact"/>
            </w:pPr>
            <w:r>
              <w:t xml:space="preserve">0.96</w:t>
            </w:r>
          </w:p>
        </w:tc>
        <w:tc>
          <w:tcPr/>
          <w:p>
            <w:pPr>
              <w:pStyle w:val="Compact"/>
            </w:pPr>
            <w:r>
              <w:t xml:space="preserve">1.71 (0.52 to 2.91)</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(0.81 to 1.95)</w:t>
            </w:r>
          </w:p>
        </w:tc>
        <w:tc>
          <w:tcPr/>
          <w:p>
            <w:pPr>
              <w:pStyle w:val="Compact"/>
            </w:pPr>
            <w:r>
              <w:t xml:space="preserve">1.24</w:t>
            </w:r>
          </w:p>
        </w:tc>
        <w:tc>
          <w:tcPr/>
          <w:p>
            <w:pPr>
              <w:pStyle w:val="Compact"/>
            </w:pPr>
            <w:r>
              <w:t xml:space="preserve">2.21 (0.67 to 3.74)</w:t>
            </w:r>
          </w:p>
        </w:tc>
      </w:tr>
    </w:tbl>
    <w:p>
      <w:pPr>
        <w:pStyle w:val="BodyText"/>
      </w:pPr>
      <w:r>
        <w:rPr>
          <w:b/>
          <w:bCs/>
        </w:rPr>
        <w:t xml:space="preserve">Table S12.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977.5</w:t>
            </w:r>
          </w:p>
        </w:tc>
        <w:tc>
          <w:tcPr/>
          <w:p>
            <w:pPr>
              <w:pStyle w:val="Compact"/>
            </w:pPr>
            <w:r>
              <w:t xml:space="preserve">19.7</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11.6</w:t>
            </w:r>
          </w:p>
        </w:tc>
      </w:tr>
      <w:tr>
        <w:tc>
          <w:tcPr/>
          <w:p>
            <w:pPr>
              <w:pStyle w:val="Compact"/>
            </w:pPr>
            <w:r>
              <w:t xml:space="preserve">smooth</w:t>
            </w:r>
          </w:p>
        </w:tc>
        <w:tc>
          <w:tcPr/>
          <w:p>
            <w:pPr>
              <w:pStyle w:val="Compact"/>
            </w:pPr>
            <w:r>
              <w:t xml:space="preserve">990.2</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0.736</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1.043</w:t>
            </w:r>
          </w:p>
        </w:tc>
        <w:tc>
          <w:tcPr/>
          <w:p>
            <w:pPr>
              <w:pStyle w:val="Compact"/>
            </w:pPr>
            <w:r>
              <w:t xml:space="preserve">0.161</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0.143</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-0.082</w:t>
            </w:r>
          </w:p>
        </w:tc>
        <w:tc>
          <w:tcPr/>
          <w:p>
            <w:pPr>
              <w:pStyle w:val="Compact"/>
            </w:pPr>
            <w:r>
              <w:t xml:space="preserve">0.127</w:t>
            </w:r>
          </w:p>
        </w:tc>
        <w:tc>
          <w:tcPr/>
          <w:p>
            <w:pPr>
              <w:pStyle w:val="Compact"/>
            </w:pPr>
            <w:r>
              <w:t xml:space="preserve">0.521</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0.935</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-1.444</w:t>
            </w:r>
          </w:p>
        </w:tc>
        <w:tc>
          <w:tcPr/>
          <w:p>
            <w:pPr>
              <w:pStyle w:val="Compact"/>
            </w:pPr>
            <w:r>
              <w:t xml:space="preserve">0.149</w:t>
            </w:r>
          </w:p>
        </w:tc>
      </w:tr>
      <w:tr>
        <w:tc>
          <w:tcPr/>
          <w:p>
            <w:pPr>
              <w:pStyle w:val="Compact"/>
            </w:pPr>
            <w:r>
              <w:t xml:space="preserve">spCOER</w:t>
            </w:r>
          </w:p>
        </w:tc>
        <w:tc>
          <w:tcPr/>
          <w:p>
            <w:pPr>
              <w:pStyle w:val="Compact"/>
            </w:pPr>
            <w:r>
              <w:t xml:space="preserve">-0.559</w:t>
            </w:r>
          </w:p>
        </w:tc>
        <w:tc>
          <w:tcPr/>
          <w:p>
            <w:pPr>
              <w:pStyle w:val="Compact"/>
            </w:pPr>
            <w:r>
              <w:t xml:space="preserve">0.257</w:t>
            </w:r>
          </w:p>
        </w:tc>
        <w:tc>
          <w:tcPr/>
          <w:p>
            <w:pPr>
              <w:pStyle w:val="Compact"/>
            </w:pPr>
            <w:r>
              <w:t xml:space="preserve">-2.178</w:t>
            </w:r>
          </w:p>
        </w:tc>
        <w:tc>
          <w:tcPr/>
          <w:p>
            <w:pPr>
              <w:pStyle w:val="Compact"/>
            </w:pPr>
            <w:r>
              <w:t xml:space="preserve">0.029</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-1.613</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S13.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S9).</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S9)</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S8;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S1)</w:t>
            </w:r>
          </w:p>
        </w:tc>
      </w:tr>
    </w:tbl>
    <w:p>
      <w:pPr>
        <w:pStyle w:val="BodyText"/>
      </w:pPr>
      <w:r>
        <w:rPr>
          <w:b/>
          <w:bCs/>
        </w:rPr>
        <w:t xml:space="preserve">Table S14.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pPr>
        <w:pStyle w:val="BodyText"/>
      </w:pPr>
      <w:r>
        <w:rPr>
          <w:b/>
          <w:bCs/>
        </w:rPr>
        <w:t xml:space="preserve">Table S15. Plot surface water, October 2025</w:t>
      </w:r>
      <w:r>
        <w:t xml:space="preserve"> </w:t>
      </w:r>
      <w:r>
        <w:t xml:space="preserve">(text S2). SRS5 and SRS6 salinity, O2, pH and alkalinity are from the adjacent river-survey station on 22 October 2025 (Vaughn and Raymond 2024; M16); O2 after the sensor offset correction (M16); –, not measured.</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Site</w:t>
            </w:r>
          </w:p>
        </w:tc>
        <w:tc>
          <w:tcPr/>
          <w:p>
            <w:pPr>
              <w:pStyle w:val="Compact"/>
            </w:pPr>
            <w:r>
              <w:t xml:space="preserve">Salinity (PSU)</w:t>
            </w:r>
          </w:p>
        </w:tc>
        <w:tc>
          <w:tcPr/>
          <w:p>
            <w:pPr>
              <w:pStyle w:val="Compact"/>
            </w:pPr>
            <w:r>
              <w:t xml:space="preserve">O2 (% sat.)</w:t>
            </w:r>
          </w:p>
        </w:tc>
        <w:tc>
          <w:tcPr/>
          <w:p>
            <w:pPr>
              <w:pStyle w:val="Compact"/>
            </w:pPr>
            <w:r>
              <w:t xml:space="preserve">pH</w:t>
            </w:r>
          </w:p>
        </w:tc>
        <w:tc>
          <w:tcPr/>
          <w:p>
            <w:pPr>
              <w:pStyle w:val="Compact"/>
            </w:pPr>
            <w:r>
              <w:t xml:space="preserve">Redox (mV)</w:t>
            </w:r>
          </w:p>
        </w:tc>
        <w:tc>
          <w:tcPr/>
          <w:p>
            <w:pPr>
              <w:pStyle w:val="Compact"/>
            </w:pPr>
            <w:r>
              <w:t xml:space="preserve">CH4 (µM)</w:t>
            </w:r>
          </w:p>
        </w:tc>
        <w:tc>
          <w:tcPr/>
          <w:p>
            <w:pPr>
              <w:pStyle w:val="Compact"/>
            </w:pPr>
            <w:r>
              <w:t xml:space="preserve">δ13C-CH4 (‰)</w:t>
            </w:r>
          </w:p>
        </w:tc>
        <w:tc>
          <w:tcPr/>
          <w:p>
            <w:pPr>
              <w:pStyle w:val="Compact"/>
            </w:pPr>
            <w:r>
              <w:t xml:space="preserve">CO2 (µM)</w:t>
            </w:r>
          </w:p>
        </w:tc>
        <w:tc>
          <w:tcPr/>
          <w:p>
            <w:pPr>
              <w:pStyle w:val="Compact"/>
            </w:pPr>
            <w:r>
              <w:t xml:space="preserve">Alkalinity (mM)</w:t>
            </w:r>
          </w:p>
        </w:tc>
        <w:tc>
          <w:tcPr/>
          <w:p>
            <w:pPr>
              <w:pStyle w:val="Compact"/>
            </w:pPr>
            <w:r>
              <w:t xml:space="preserve">DOC (mg L−1)</w:t>
            </w:r>
          </w:p>
        </w:tc>
        <w:tc>
          <w:tcPr/>
          <w:p>
            <w:pPr>
              <w:pStyle w:val="Compact"/>
            </w:pPr>
            <w:r>
              <w:t xml:space="preserve">Sulfide (mM)</w:t>
            </w:r>
          </w:p>
        </w:tc>
        <w:tc>
          <w:tcPr/>
          <w:p>
            <w:pPr>
              <w:pStyle w:val="Compact"/>
            </w:pPr>
            <w:r>
              <w:t xml:space="preserve">Fe (µM)</w:t>
            </w:r>
          </w:p>
        </w:tc>
        <w:tc>
          <w:tcPr/>
          <w:p>
            <w:pPr>
              <w:pStyle w:val="Compact"/>
            </w:pPr>
            <w:r>
              <w:t xml:space="preserve">NH4+ (µM)</w:t>
            </w:r>
          </w:p>
        </w:tc>
      </w:tr>
      <w:tr>
        <w:tc>
          <w:tcPr/>
          <w:p>
            <w:pPr>
              <w:pStyle w:val="Compact"/>
            </w:pPr>
            <w:r>
              <w:t xml:space="preserve">SRS5</w:t>
            </w:r>
          </w:p>
        </w:tc>
        <w:tc>
          <w:tcPr/>
          <w:p>
            <w:pPr>
              <w:pStyle w:val="Compact"/>
            </w:pPr>
            <w:r>
              <w:t xml:space="preserve">9.3</w:t>
            </w:r>
          </w:p>
        </w:tc>
        <w:tc>
          <w:tcPr/>
          <w:p>
            <w:pPr>
              <w:pStyle w:val="Compact"/>
            </w:pPr>
            <w:r>
              <w:t xml:space="preserve">69</w:t>
            </w:r>
          </w:p>
        </w:tc>
        <w:tc>
          <w:tcPr/>
          <w:p>
            <w:pPr>
              <w:pStyle w:val="Compact"/>
            </w:pPr>
            <w:r>
              <w:t xml:space="preserve">7.43</w:t>
            </w:r>
          </w:p>
        </w:tc>
        <w:tc>
          <w:tcPr/>
          <w:p>
            <w:pPr>
              <w:pStyle w:val="Compact"/>
            </w:pPr>
            <w:r>
              <w:t xml:space="preserve">–</w:t>
            </w:r>
          </w:p>
        </w:tc>
        <w:tc>
          <w:tcPr/>
          <w:p>
            <w:pPr>
              <w:pStyle w:val="Compact"/>
            </w:pPr>
            <w:r>
              <w:t xml:space="preserve">0.29</w:t>
            </w:r>
          </w:p>
        </w:tc>
        <w:tc>
          <w:tcPr/>
          <w:p>
            <w:pPr>
              <w:pStyle w:val="Compact"/>
            </w:pPr>
            <w:r>
              <w:t xml:space="preserve">-72.4</w:t>
            </w:r>
          </w:p>
        </w:tc>
        <w:tc>
          <w:tcPr/>
          <w:p>
            <w:pPr>
              <w:pStyle w:val="Compact"/>
            </w:pPr>
            <w:r>
              <w:t xml:space="preserve">575</w:t>
            </w:r>
          </w:p>
        </w:tc>
        <w:tc>
          <w:tcPr/>
          <w:p>
            <w:pPr>
              <w:pStyle w:val="Compact"/>
            </w:pPr>
            <w:r>
              <w:t xml:space="preserve">3.7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w:t>
            </w:r>
          </w:p>
        </w:tc>
      </w:tr>
      <w:tr>
        <w:tc>
          <w:tcPr/>
          <w:p>
            <w:pPr>
              <w:pStyle w:val="Compact"/>
            </w:pPr>
            <w:r>
              <w:t xml:space="preserve">SRS6</w:t>
            </w:r>
          </w:p>
        </w:tc>
        <w:tc>
          <w:tcPr/>
          <w:p>
            <w:pPr>
              <w:pStyle w:val="Compact"/>
            </w:pPr>
            <w:r>
              <w:t xml:space="preserve">15.5</w:t>
            </w:r>
          </w:p>
        </w:tc>
        <w:tc>
          <w:tcPr/>
          <w:p>
            <w:pPr>
              <w:pStyle w:val="Compact"/>
            </w:pPr>
            <w:r>
              <w:t xml:space="preserve">70</w:t>
            </w:r>
          </w:p>
        </w:tc>
        <w:tc>
          <w:tcPr/>
          <w:p>
            <w:pPr>
              <w:pStyle w:val="Compact"/>
            </w:pPr>
            <w:r>
              <w:t xml:space="preserve">7.49</w:t>
            </w:r>
          </w:p>
        </w:tc>
        <w:tc>
          <w:tcPr/>
          <w:p>
            <w:pPr>
              <w:pStyle w:val="Compact"/>
            </w:pPr>
            <w:r>
              <w:t xml:space="preserve">–</w:t>
            </w:r>
          </w:p>
        </w:tc>
        <w:tc>
          <w:tcPr/>
          <w:p>
            <w:pPr>
              <w:pStyle w:val="Compact"/>
            </w:pPr>
            <w:r>
              <w:t xml:space="preserve">0.46</w:t>
            </w:r>
          </w:p>
        </w:tc>
        <w:tc>
          <w:tcPr/>
          <w:p>
            <w:pPr>
              <w:pStyle w:val="Compact"/>
            </w:pPr>
            <w:r>
              <w:t xml:space="preserve">-75.5</w:t>
            </w:r>
          </w:p>
        </w:tc>
        <w:tc>
          <w:tcPr/>
          <w:p>
            <w:pPr>
              <w:pStyle w:val="Compact"/>
            </w:pPr>
            <w:r>
              <w:t xml:space="preserve">589</w:t>
            </w:r>
          </w:p>
        </w:tc>
        <w:tc>
          <w:tcPr/>
          <w:p>
            <w:pPr>
              <w:pStyle w:val="Compact"/>
            </w:pPr>
            <w:r>
              <w:t xml:space="preserve">3.7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w:t>
            </w:r>
          </w:p>
        </w:tc>
      </w:tr>
      <w:tr>
        <w:tc>
          <w:tcPr/>
          <w:p>
            <w:pPr>
              <w:pStyle w:val="Compact"/>
            </w:pPr>
            <w:r>
              <w:t xml:space="preserve">BL60</w:t>
            </w:r>
          </w:p>
        </w:tc>
        <w:tc>
          <w:tcPr/>
          <w:p>
            <w:pPr>
              <w:pStyle w:val="Compact"/>
            </w:pPr>
            <w:r>
              <w:t xml:space="preserve">3.4</w:t>
            </w:r>
          </w:p>
        </w:tc>
        <w:tc>
          <w:tcPr/>
          <w:p>
            <w:pPr>
              <w:pStyle w:val="Compact"/>
            </w:pPr>
            <w:r>
              <w:t xml:space="preserve">1</w:t>
            </w:r>
          </w:p>
        </w:tc>
        <w:tc>
          <w:tcPr/>
          <w:p>
            <w:pPr>
              <w:pStyle w:val="Compact"/>
            </w:pPr>
            <w:r>
              <w:t xml:space="preserve">6.78</w:t>
            </w:r>
          </w:p>
        </w:tc>
        <w:tc>
          <w:tcPr/>
          <w:p>
            <w:pPr>
              <w:pStyle w:val="Compact"/>
            </w:pPr>
            <w:r>
              <w:t xml:space="preserve">-243</w:t>
            </w:r>
          </w:p>
        </w:tc>
        <w:tc>
          <w:tcPr/>
          <w:p>
            <w:pPr>
              <w:pStyle w:val="Compact"/>
            </w:pPr>
            <w:r>
              <w:t xml:space="preserve">86.61</w:t>
            </w:r>
          </w:p>
        </w:tc>
        <w:tc>
          <w:tcPr/>
          <w:p>
            <w:pPr>
              <w:pStyle w:val="Compact"/>
            </w:pPr>
            <w:r>
              <w:t xml:space="preserve">-78.6</w:t>
            </w:r>
          </w:p>
        </w:tc>
        <w:tc>
          <w:tcPr/>
          <w:p>
            <w:pPr>
              <w:pStyle w:val="Compact"/>
            </w:pPr>
            <w:r>
              <w:t xml:space="preserve">1096</w:t>
            </w:r>
          </w:p>
        </w:tc>
        <w:tc>
          <w:tcPr/>
          <w:p>
            <w:pPr>
              <w:pStyle w:val="Compact"/>
            </w:pPr>
            <w:r>
              <w:t xml:space="preserve">6.1</w:t>
            </w:r>
          </w:p>
        </w:tc>
        <w:tc>
          <w:tcPr/>
          <w:p>
            <w:pPr>
              <w:pStyle w:val="Compact"/>
            </w:pPr>
            <w:r>
              <w:t xml:space="preserve">66.8</w:t>
            </w:r>
          </w:p>
        </w:tc>
        <w:tc>
          <w:tcPr/>
          <w:p>
            <w:pPr>
              <w:pStyle w:val="Compact"/>
            </w:pPr>
            <w:r>
              <w:t xml:space="preserve">0.06</w:t>
            </w:r>
          </w:p>
        </w:tc>
        <w:tc>
          <w:tcPr/>
          <w:p>
            <w:pPr>
              <w:pStyle w:val="Compact"/>
            </w:pPr>
            <w:r>
              <w:t xml:space="preserve">1.8</w:t>
            </w:r>
          </w:p>
        </w:tc>
        <w:tc>
          <w:tcPr/>
          <w:p>
            <w:pPr>
              <w:pStyle w:val="Compact"/>
            </w:pPr>
            <w:r>
              <w:t xml:space="preserve">27</w:t>
            </w:r>
          </w:p>
        </w:tc>
      </w:tr>
      <w:tr>
        <w:tc>
          <w:tcPr/>
          <w:p>
            <w:pPr>
              <w:pStyle w:val="Compact"/>
            </w:pPr>
            <w:r>
              <w:t xml:space="preserve">CP40</w:t>
            </w:r>
          </w:p>
        </w:tc>
        <w:tc>
          <w:tcPr/>
          <w:p>
            <w:pPr>
              <w:pStyle w:val="Compact"/>
            </w:pPr>
            <w:r>
              <w:t xml:space="preserve">20.8</w:t>
            </w:r>
          </w:p>
        </w:tc>
        <w:tc>
          <w:tcPr/>
          <w:p>
            <w:pPr>
              <w:pStyle w:val="Compact"/>
            </w:pPr>
            <w:r>
              <w:t xml:space="preserve">88</w:t>
            </w:r>
          </w:p>
        </w:tc>
        <w:tc>
          <w:tcPr/>
          <w:p>
            <w:pPr>
              <w:pStyle w:val="Compact"/>
            </w:pPr>
            <w:r>
              <w:t xml:space="preserve">8.43</w:t>
            </w:r>
          </w:p>
        </w:tc>
        <w:tc>
          <w:tcPr/>
          <w:p>
            <w:pPr>
              <w:pStyle w:val="Compact"/>
            </w:pPr>
            <w:r>
              <w:t xml:space="preserve">-113</w:t>
            </w:r>
          </w:p>
        </w:tc>
        <w:tc>
          <w:tcPr/>
          <w:p>
            <w:pPr>
              <w:pStyle w:val="Compact"/>
            </w:pPr>
            <w:r>
              <w:t xml:space="preserve">2.74</w:t>
            </w:r>
          </w:p>
        </w:tc>
        <w:tc>
          <w:tcPr/>
          <w:p>
            <w:pPr>
              <w:pStyle w:val="Compact"/>
            </w:pPr>
            <w:r>
              <w:t xml:space="preserve">-70.6</w:t>
            </w:r>
          </w:p>
        </w:tc>
        <w:tc>
          <w:tcPr/>
          <w:p>
            <w:pPr>
              <w:pStyle w:val="Compact"/>
            </w:pPr>
            <w:r>
              <w:t xml:space="preserve">35</w:t>
            </w:r>
          </w:p>
        </w:tc>
        <w:tc>
          <w:tcPr/>
          <w:p>
            <w:pPr>
              <w:pStyle w:val="Compact"/>
            </w:pPr>
            <w:r>
              <w:t xml:space="preserve">4.7</w:t>
            </w:r>
          </w:p>
        </w:tc>
        <w:tc>
          <w:tcPr/>
          <w:p>
            <w:pPr>
              <w:pStyle w:val="Compact"/>
            </w:pPr>
            <w:r>
              <w:t xml:space="preserve">36.9</w:t>
            </w:r>
          </w:p>
        </w:tc>
        <w:tc>
          <w:tcPr/>
          <w:p>
            <w:pPr>
              <w:pStyle w:val="Compact"/>
            </w:pPr>
            <w:r>
              <w:t xml:space="preserve">0.54</w:t>
            </w:r>
          </w:p>
        </w:tc>
        <w:tc>
          <w:tcPr/>
          <w:p>
            <w:pPr>
              <w:pStyle w:val="Compact"/>
            </w:pPr>
            <w:r>
              <w:t xml:space="preserve">0.4</w:t>
            </w:r>
          </w:p>
        </w:tc>
        <w:tc>
          <w:tcPr/>
          <w:p>
            <w:pPr>
              <w:pStyle w:val="Compact"/>
            </w:pPr>
            <w:r>
              <w:t xml:space="preserve">140</w:t>
            </w:r>
          </w:p>
        </w:tc>
      </w:tr>
    </w:tbl>
    <w:p>
      <w:pPr>
        <w:pStyle w:val="BodyText"/>
      </w:pPr>
      <w:r>
        <w:rPr>
          <w:b/>
          <w:bCs/>
        </w:rPr>
        <w:t xml:space="preserve">Table S16. Component CH4 rates at all sites, campaigns pooled</w:t>
      </w:r>
      <w:r>
        <w:t xml:space="preserve"> </w:t>
      </w:r>
      <w:r>
        <w:t xml:space="preserve">(nmol m−2 s−1 per m2 of surface; 95% CI; context sites MI, RB10, SE1 alongside the core sites; text S4).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5.73 (2.78 to 8.29)</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55.63 (27.01 to 90.45)</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14.18 (3.37 to 32.02)</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56.85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(-0.06 to 6.25)</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14.13 (7.55 to 22.68)</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21.34 (8.94 to 38.90)</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30.78 (12.93 to 56.13)</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11.14 (5.94 to 18.72)</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10.65 (7.36 to 15.17)</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(2.10 to 3.04)</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0.93)</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1.05 (0.50 to 1.68)</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3.23 (1.27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(0.13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1.70)</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0.88)</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(0.67 to 25.00)</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11.81 (6.17 to 20.33)</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0.45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r>
        <w:pict>
          <v:rect style="width:0;height:1.5pt" o:hralign="center" o:hrstd="t" o:hr="t"/>
        </w:pict>
      </w:r>
    </w:p>
    <w:bookmarkEnd w:id="105"/>
    <w:bookmarkStart w:id="106"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Castañeda-Moya, E., Rivera-Monroy, V. &amp; Twilley, R. Mangrove forest growth from the Shark River Slough, Everglades National Park (FCE), South Florida, USA, January 1995 – ongoing. Environmental Data Initiative, knb-lter-fce.1113.7 (2024). https://doi.org/10.6073/pasta/45b440211d5756a157e72b1ee3a7a0ec</w:t>
            </w:r>
          </w:p>
        </w:tc>
        <w:tc>
          <w:tcPr/>
          <w:p>
            <w:pPr>
              <w:pStyle w:val="Compact"/>
            </w:pPr>
            <w:r>
              <w:t xml:space="preserve">Species composition, stem density and basal area at SRS5 and SRS6 (table S1)</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6"/>
    <w:bookmarkStart w:id="107"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J. R. Evans, M. C. Ball, H. Lambers, T. L. Pons, Leaf respiration of snow gum in the light and dark: interactions between temperature and irradiance.</w:t>
      </w:r>
      <w:r>
        <w:t xml:space="preserve"> </w:t>
      </w:r>
      <w:r>
        <w:rPr>
          <w:i/>
          <w:iCs/>
        </w:rPr>
        <w:t xml:space="preserve">Plant Physiol.</w:t>
      </w:r>
      <w:r>
        <w:t xml:space="preserve"> </w:t>
      </w:r>
      <w:r>
        <w:rPr>
          <w:b/>
          <w:bCs/>
        </w:rPr>
        <w:t xml:space="preserve">122</w:t>
      </w:r>
      <w:r>
        <w:t xml:space="preserve">, 915–923 (2000).</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9"/>
        </w:numPr>
      </w:pPr>
      <w:r>
        <w:t xml:space="preserve">A. V. Borges et al., Variability of the gas transfer velocity of CO2 in a macrotidal estuary (the Scheldt).</w:t>
      </w:r>
      <w:r>
        <w:t xml:space="preserve"> </w:t>
      </w:r>
      <w:r>
        <w:rPr>
          <w:i/>
          <w:iCs/>
        </w:rPr>
        <w:t xml:space="preserve">Estuaries</w:t>
      </w:r>
      <w:r>
        <w:t xml:space="preserve"> </w:t>
      </w:r>
      <w:r>
        <w:rPr>
          <w:b/>
          <w:bCs/>
        </w:rPr>
        <w:t xml:space="preserve">27</w:t>
      </w:r>
      <w:r>
        <w:t xml:space="preserve">, 593–603 (2004).</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D. B. Clark et al., The Joint UK Land Environment Simulator (JULES), model description – Part 2: Carbon fluxes and vegetation dynamics.</w:t>
      </w:r>
      <w:r>
        <w:t xml:space="preserve"> </w:t>
      </w:r>
      <w:r>
        <w:rPr>
          <w:i/>
          <w:iCs/>
        </w:rPr>
        <w:t xml:space="preserve">Geosci. Model Dev.</w:t>
      </w:r>
      <w:r>
        <w:t xml:space="preserve"> </w:t>
      </w:r>
      <w:r>
        <w:rPr>
          <w:b/>
          <w:bCs/>
        </w:rPr>
        <w:t xml:space="preserve">4</w:t>
      </w:r>
      <w:r>
        <w:t xml:space="preserve">, 701–722 (2011).</w:t>
      </w:r>
    </w:p>
    <w:p>
      <w:pPr>
        <w:pStyle w:val="Compact"/>
        <w:numPr>
          <w:ilvl w:val="0"/>
          <w:numId w:val="1009"/>
        </w:numPr>
      </w:pPr>
      <w:r>
        <w:t xml:space="preserve">J. J. Cole, N. F. Caraco, Atmospheric exchange of carbon dioxide in a low-wind oligotrophic lake measured by the addition of SF6.</w:t>
      </w:r>
      <w:r>
        <w:t xml:space="preserve"> </w:t>
      </w:r>
      <w:r>
        <w:rPr>
          <w:i/>
          <w:iCs/>
        </w:rPr>
        <w:t xml:space="preserve">Limnol. Oceanogr.</w:t>
      </w:r>
      <w:r>
        <w:t xml:space="preserve"> </w:t>
      </w:r>
      <w:r>
        <w:rPr>
          <w:b/>
          <w:bCs/>
        </w:rPr>
        <w:t xml:space="preserve">43</w:t>
      </w:r>
      <w:r>
        <w:t xml:space="preserve">, 647–656 (1998).</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D. T. Ho, S. Ferrón, V. C. Engel, L. G. Larsen, J. G. Barr, Air-water gas exchange and CO2 flux in a mangrove-dominated estuary.</w:t>
      </w:r>
      <w:r>
        <w:t xml:space="preserve"> </w:t>
      </w:r>
      <w:r>
        <w:rPr>
          <w:i/>
          <w:iCs/>
        </w:rPr>
        <w:t xml:space="preserve">Geophys. Res. Lett.</w:t>
      </w:r>
      <w:r>
        <w:t xml:space="preserve"> </w:t>
      </w:r>
      <w:r>
        <w:rPr>
          <w:b/>
          <w:bCs/>
        </w:rPr>
        <w:t xml:space="preserve">41</w:t>
      </w:r>
      <w:r>
        <w:t xml:space="preserve">, 108–113 (2014).</w:t>
      </w:r>
    </w:p>
    <w:p>
      <w:pPr>
        <w:pStyle w:val="Compact"/>
        <w:numPr>
          <w:ilvl w:val="0"/>
          <w:numId w:val="1009"/>
        </w:numPr>
      </w:pPr>
      <w:r>
        <w:t xml:space="preserve">D. T. Ho et al., Influence of current velocity and wind speed on air-water gas exchange in a mangrove estuary.</w:t>
      </w:r>
      <w:r>
        <w:t xml:space="preserve"> </w:t>
      </w:r>
      <w:r>
        <w:rPr>
          <w:i/>
          <w:iCs/>
        </w:rPr>
        <w:t xml:space="preserve">Geophys. Res. Lett.</w:t>
      </w:r>
      <w:r>
        <w:t xml:space="preserve"> </w:t>
      </w:r>
      <w:r>
        <w:rPr>
          <w:b/>
          <w:bCs/>
        </w:rPr>
        <w:t xml:space="preserve">43</w:t>
      </w:r>
      <w:r>
        <w:t xml:space="preserve">, 3813–3821 (2016).</w:t>
      </w:r>
    </w:p>
    <w:p>
      <w:pPr>
        <w:pStyle w:val="Compact"/>
        <w:numPr>
          <w:ilvl w:val="0"/>
          <w:numId w:val="1009"/>
        </w:numPr>
      </w:pPr>
      <w:r>
        <w:t xml:space="preserve">D. T. Ho et al., On factors influencing air-water gas exchange in emergent wetlands.</w:t>
      </w:r>
      <w:r>
        <w:t xml:space="preserve"> </w:t>
      </w:r>
      <w:r>
        <w:rPr>
          <w:i/>
          <w:iCs/>
        </w:rPr>
        <w:t xml:space="preserve">J. Geophys. Res. Biogeosci.</w:t>
      </w:r>
      <w:r>
        <w:t xml:space="preserve"> </w:t>
      </w:r>
      <w:r>
        <w:rPr>
          <w:b/>
          <w:bCs/>
        </w:rPr>
        <w:t xml:space="preserve">123</w:t>
      </w:r>
      <w:r>
        <w:t xml:space="preserve">, 178–192 (2018).</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P. A. Raymond, J. J. Cole, Gas exchange in rivers and estuaries: choosing a gas transfer velocity.</w:t>
      </w:r>
      <w:r>
        <w:t xml:space="preserve"> </w:t>
      </w:r>
      <w:r>
        <w:rPr>
          <w:i/>
          <w:iCs/>
        </w:rPr>
        <w:t xml:space="preserve">Estuaries</w:t>
      </w:r>
      <w:r>
        <w:t xml:space="preserve"> </w:t>
      </w:r>
      <w:r>
        <w:rPr>
          <w:b/>
          <w:bCs/>
        </w:rPr>
        <w:t xml:space="preserve">24</w:t>
      </w:r>
      <w:r>
        <w:t xml:space="preserve">, 312–317 (2001).</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Rosentreter et al., Spatial and temporal variability of CO2 and CH4 gas transfer velocities and quantification of the CH4 microbubble flux in mangrove dominated estuaries.</w:t>
      </w:r>
      <w:r>
        <w:t xml:space="preserve"> </w:t>
      </w:r>
      <w:r>
        <w:rPr>
          <w:i/>
          <w:iCs/>
        </w:rPr>
        <w:t xml:space="preserve">Limnol. Oceanogr.</w:t>
      </w:r>
      <w:r>
        <w:t xml:space="preserve"> </w:t>
      </w:r>
      <w:r>
        <w:rPr>
          <w:b/>
          <w:bCs/>
        </w:rPr>
        <w:t xml:space="preserve">62</w:t>
      </w:r>
      <w:r>
        <w:t xml:space="preserve">, 561–578 (2017).</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Y. Y. Y. Yau et al., Efficient oxidation attenuates porewater-derived methane fluxes in mangrove waters.</w:t>
      </w:r>
      <w:r>
        <w:t xml:space="preserve"> </w:t>
      </w:r>
      <w:r>
        <w:rPr>
          <w:i/>
          <w:iCs/>
        </w:rPr>
        <w:t xml:space="preserve">Limnol. Oceanogr.</w:t>
      </w:r>
      <w:r>
        <w:t xml:space="preserve"> </w:t>
      </w:r>
      <w:r>
        <w:rPr>
          <w:b/>
          <w:bCs/>
        </w:rPr>
        <w:t xml:space="preserve">69</w:t>
      </w:r>
      <w:r>
        <w:t xml:space="preserve">, 1997–2014 (2024).</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 Target="media/rId77.png" /><Relationship Type="http://schemas.openxmlformats.org/officeDocument/2006/relationships/image" Id="rId59" Target="media/rId59.png" /><Relationship Type="http://schemas.openxmlformats.org/officeDocument/2006/relationships/image" Id="rId68" Target="media/rId68.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74" Target="media/rId74.png" /><Relationship Type="http://schemas.openxmlformats.org/officeDocument/2006/relationships/image" Id="rId56" Target="media/rId56.png" /><Relationship Type="http://schemas.openxmlformats.org/officeDocument/2006/relationships/image" Id="rId89" Target="media/rId89.png" /><Relationship Type="http://schemas.openxmlformats.org/officeDocument/2006/relationships/image" Id="rId53" Target="media/rId53.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83" Target="media/rId83.png" /><Relationship Type="http://schemas.openxmlformats.org/officeDocument/2006/relationships/image" Id="rId50" Target="media/rId50.png" /><Relationship Type="http://schemas.openxmlformats.org/officeDocument/2006/relationships/image" Id="rId95" Target="media/rId95.png" /><Relationship Type="http://schemas.openxmlformats.org/officeDocument/2006/relationships/image" Id="rId47" Target="media/rId47.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80" Target="media/rId80.png" /><Relationship Type="http://schemas.openxmlformats.org/officeDocument/2006/relationships/image" Id="rId86" Target="media/rId8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2026-10-05T23:55:48Z</dcterms:created>
  <dcterms:modified xsi:type="dcterms:W3CDTF">2026-10-05T23:55:48Z</dcterms:modified>
</cp:coreProperties>
</file>

<file path=docProps/custom.xml><?xml version="1.0" encoding="utf-8"?>
<Properties xmlns="http://schemas.openxmlformats.org/officeDocument/2006/custom-properties" xmlns:vt="http://schemas.openxmlformats.org/officeDocument/2006/docPropsVTypes"/>
</file>