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S1),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S1).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S2).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S2),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S2).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S2),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~33 g CH4 m−2 yr−1, more than ghost forest, so early regeneration may be the peak of the response rather than a return toward the intact baseline (text S3). By contrast, a decades-old die-off behind a road that restricted tidal exchange had little standing water in the dry season and soil emission an order of magnitude below the Everglades ghost sites (text S4),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S5). Across all other analytical choices we tested (flooding, temperature scaling, downed wood, canopy respiration and the tidal and daily timing of methane), the switch stayed between ~5,600 and ~8,000 (table S3;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S1;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it omits peat collapse after root death (76) and the lateral losses of ghost forest.</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(74) per 0.25° cell, with the tracks of Irma and Maria.</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S3).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 US-Skr data were provided by AmeriFlux (Fuentes, Malone &amp; Troxler, doi:10.17190/AMF/1246105); AmeriFlux is funded by the U.S. Department of Energy Office of Science.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S12; Figures S1 to S21; Tables S1 to S16;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2026-10-05T23:55:49Z</dcterms:created>
  <dcterms:modified xsi:type="dcterms:W3CDTF">2026-10-05T23:55:49Z</dcterms:modified>
</cp:coreProperties>
</file>

<file path=docProps/custom.xml><?xml version="1.0" encoding="utf-8"?>
<Properties xmlns="http://schemas.openxmlformats.org/officeDocument/2006/custom-properties" xmlns:vt="http://schemas.openxmlformats.org/officeDocument/2006/docPropsVTypes"/>
</file>