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59.png" ContentType="image/png"/>
  <Override PartName="/word/media/rId68.png" ContentType="image/png"/>
  <Override PartName="/word/media/rId65.png" ContentType="image/png"/>
  <Override PartName="/word/media/rId62.png" ContentType="image/png"/>
  <Override PartName="/word/media/rId74.png" ContentType="image/png"/>
  <Override PartName="/word/media/rId56.png" ContentType="image/png"/>
  <Override PartName="/word/media/rId89.png" ContentType="image/png"/>
  <Override PartName="/word/media/rId53.png" ContentType="image/png"/>
  <Override PartName="/word/media/rId71.png" ContentType="image/png"/>
  <Override PartName="/word/media/rId92.png" ContentType="image/png"/>
  <Override PartName="/word/media/rId83.png" ContentType="image/png"/>
  <Override PartName="/word/media/rId50.png" ContentType="image/png"/>
  <Override PartName="/word/media/rId95.png" ContentType="image/png"/>
  <Override PartName="/word/media/rId47.png" ContentType="image/png"/>
  <Override PartName="/word/media/rId98.png" ContentType="image/png"/>
  <Override PartName="/word/media/rId101.png" ContentType="image/png"/>
  <Override PartName="/word/media/rId8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Figures S1 to S21; Tables S1 to S16;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S4; figs. S1 and S2).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Carbon Monitoring System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S3),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 Chamber measurements are shown against water level at each site and campaign in fig. S4.</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S5).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 Fluxes by component for every plot and campaign are shown in fig. S6, soil flux against pneumatophore density in fig. S7, and stem flux by height, species and live or dead status in fig. S10.</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S5: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S1). No flux was removed for being small, negative or below detection. Summary statistics of component rates (table S6;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S8).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S8).</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0.40–7.6 cm h−1, all below the 50 cm h−1 plausibility limit. We used the median of the site medians (1.20 cm h−1; site medians 0.40–6.8,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S9).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 Woody surface by height is shown in fig. S11.</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S8) weights a high-tide state (flooded floor: water-surface flux, no soil or downed-wood flux) and a low-tide state (exposed floor). Alternatives (an all-or-nothing switch, the 2010–2023 hydrology, an equal split, and the floor mean ±1.96 SE) are compared in table S3; fig. S12 draws the campaign water levels against the woody surfaces of each scanned site. At the ghost sites the floor did not drain with the tide: they were fully flooded in October 2022 (all depth readings 2–31 cm). A pressure logger at FLM30 (21–27 October 2022) showed the water rising by ~13 cm over the week with a residual tide of no more than 1–3 cm, against daily ranges of 13.5 and 31 cm at SRS5 and SRS6 (Fig. 4C)</w:t>
      </w:r>
      <w:r>
        <w:t xml:space="preserve"> </w:t>
      </w:r>
      <w:r>
        <w:rPr>
          <w:i/>
          <w:iCs/>
        </w:rPr>
        <w:t xml:space="preserve">[PRELIMINARY: read from the logger display; replace with the logger file, barometrically corrected with US-Skr air pressure]</w:t>
      </w:r>
      <w:r>
        <w:t xml:space="preserve">. In March 2023 the share of our readings at stem, root and downed-wood positions without standing water (6 of 31 at CP40; 9 of 48 at FLM30) was budgeted as exposed soil. The water-level records, fitted floor heights and flooded shares are shown in fig. S13.</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inhibition of leaf respiration in the light, the JULES default (Clark et al. 2011; Huntingford et al. 2017; based on Atkin et al. 2000; daytime when shortwave &gt;5 W m−2),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S1).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S9).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S16. Because regenerating forest was not separable in the footprints, the comparison used two end-members (intact and ghost), and the March 2023 value is the mean of the February and April 2023 deployments (variances combined; table S10).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with MHE PushPoint samplers for dissolved CH4, and conductivity, salinity, pH and dissolved oxygen were measured in the field with a Eureka Manta sonde. In October 2025, depth profiles (surface water and 0, 15, 45 and 90 cm) were collected at SRS5, SRS6, BL60 and CP40 with the same samplers. Temperature, pH, conductivity, dissolved oxygen and redox potential were measured in the field (Hanna HI98494). The dissolved-oxygen sensor read a constant ~30% saturation in anoxic water (porewater and BL60 surface water, which the 2022 sonde read at 0.6–2.9%), so 30% saturation was subtracted from all 2025 readings and mg L−1 rescaled by the same factor. SRS5 and SRS6 surface water had no sonde reading at the profile; their salinity, temperature, pH and O2 came from the transect sonde at the adjacent river station on 22 October 2025, as for the river-station salinities used in 2022–2023 (M8); total dissolved sulfide (methylene blue) and total dissolved iron (FerroVer) colorimetrically in the field (Hach DR900). Dissolved gases were measured by headspace equilibration in all rounds: 180 mL of water and 20 mL of ambient air were shaken to equilibrium at 25 °C, and the dissolved concentration was calculated from the equilibrated headspace by mass balance (KH 1.4 × 10−3 and 3.4 × 10−2 mol L−1 atm−1 for CH4 and CO2), subtracting the CH4 (1.95 ppm) and CO2 (420 ppm) carried in by the air. The 2022–2023 vials were analysed in one run on an SRI gas chromatograph (SRI Instruments) at Yale (December 2023)</w:t>
      </w:r>
      <w:r>
        <w:t xml:space="preserve"> </w:t>
      </w:r>
      <w:r>
        <w:rPr>
          <w:i/>
          <w:iCs/>
        </w:rPr>
        <w:t xml:space="preserve">[CHECK: model number and detectors]</w:t>
      </w:r>
      <w:r>
        <w:t xml:space="preserve">. Each vial was matched to its chromatogram by its position in the run sequence, and peak areas were calibrated against gravimetric standards (CH4 1–5,029 ppm, CO2 152–10,080 ppm, and dilutions in N2) injected at the start and end of each run: a power law for CH4 (standards back-predicted within ±13%; detection limit 0.2 ppm) and a weighted quadratic for CO2 (±5%). Most 2022–2023 porewater CO2 exceeded the highest standard and is indicative only. In October 2025, dissolved CH4 and CO2 and their δ13C were measured on a Picarro G2201-i with SAM autosampler at Yale after 1:5 dilution of the headspace. In every round a replicate below 30% of the median of its set (three or more vials) was treated as a failed vial and excluded (4 of 103 vials, all from October 2022; three held CH4 near air equilibrium);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Sulfide and iron are reported in mg L−1, as on the analyst’s data sheet</w:t>
      </w:r>
      <w:r>
        <w:t xml:space="preserve"> </w:t>
      </w:r>
      <w:r>
        <w:rPr>
          <w:i/>
          <w:iCs/>
        </w:rPr>
        <w:t xml:space="preserve">[CHECK with M. Zhang: sample dilution for the sulfide reading]</w:t>
      </w:r>
      <w:r>
        <w:t xml:space="preserve">. Chloride was not available, so sulfate consumption was estimated as the deficit of measured sulfate relative to the seawater sulfate:salinity ratio (28.2 mM at 35 PSU). δ13C-CO2 is not reported, because H2S in the headspace interferes with the measurement. Intact-site ammonium was compared with FCE LTER porewater monitoring at SRS5 and SRS6 (data S2; table S2). The principal-components analysis used October 2025 profiles (0–90 cm): numeric variables with ≤20% missing values, excluding coordinates, depth, conductivity and total dissolved solids (redundant with salinity), temperature, percent oxygen saturation, bromide and fluoride, δ13C-CO2 and standard deviations; complete cases (16 of 20); centred and scaled. The salinity–CH4 relationship used site × round × depth means of dissolved CH4 from all three rounds, porewater and plot surface water, fitted by ordinary least squares of ln(1 + CH4) on salinity, forest class and their interaction, with sample type (porewater or surface water) as a covariate; salinity effects are reported for each class as the partial correlation. Surface water without a plot salinity reading took the adjacent river-survey station (M8). River and bay channel CH4 (Vaughn and Raymond 2024) was fitted separately for comparison. Fitting all vials with a random effect for sampling location gave the same class slopes. Profiles are shown in Fig. 4 and, with the 2022–2023 rounds, the alkalinity balance, the remaining variables and surface water, in figs. S17 and S18.</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r>
        <w:t xml:space="preserve"> </w:t>
      </w:r>
      <w:r>
        <w:t xml:space="preserve">(fig. S19)</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S5),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S6).</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S11).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S12). Profiles are shown for live, flooded stems in the wet season, excluding random effects, back-transformed with sinh. Adding species changed little (table S12).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S10,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S13 lists every literature-derived value, its source, how it was converted and used, and the alternatives considered; table S14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S3).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co2-closure-caveats"/>
    <w:p>
      <w:pPr>
        <w:pStyle w:val="Heading2"/>
      </w:pPr>
      <w:r>
        <w:t xml:space="preserve">Text S1.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S10). The ghost ponds show some signs of photosynthesis, although they were mostly CO2-supersaturated when sampled. Daytime dissolved O2 reached 131% of saturation at FLM30 (October 2022; 75–131% across readings) and was 88% at CP40 in October 2025, with pH 8.0–8.4; dissolved CO2 was below air equilibrium on one visit (0.4–0.7 times at CP40, October 2022) but 2–7 times air equilibrium at FLM30 and 3–23 times at CP40 on the others. Floating-chamber CO2 efflux from the ghost ponds (site × campaign medians 0.2–0.6 µmol m−2 s−1) was lower than from intact-forest water (1.1–1.6) and BL60 (2.0). By comparison, intact-forest river and creek water held 39–90% O2 saturation, pH 7.4–7.9 and 4–14 times CO2 saturation, and BL60 surface water was anoxic (≤1.3% O2 saturation; 57–167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occasional resprouting or recruiting trees and any benthic algal mats are outside the chamber footprint. Ghost-forest primary production, in the ponds, at the margins and possibly in algal mats, is therefore uncertain but non-zero, and the chamber budget, a daily sum of component releases, is an upper bound on ghost-forest CO2 release. This, together with the midday timing and wider footprint of the aircraft, can account for the opposite signs of the chamber and airborne estimates. Diel O2 and CO2 records in the ponds would constrain it.</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S2) and live trees. The regional total in the main text uses the area of dieback with little recovery (Taillie et al. 2020), the persistent subset that the chamber estimate represents.</w:t>
      </w:r>
    </w:p>
    <w:bookmarkEnd w:id="34"/>
    <w:bookmarkStart w:id="35" w:name="X6ddd9388d40dd2fc8e1a3d4b6cd64926b272c8e"/>
    <w:p>
      <w:pPr>
        <w:pStyle w:val="Heading2"/>
      </w:pPr>
      <w:r>
        <w:t xml:space="preserve">Text S2. Porewater redox, sulfur, iron and methane</w:t>
      </w:r>
    </w:p>
    <w:p>
      <w:pPr>
        <w:pStyle w:val="FirstParagraph"/>
      </w:pPr>
      <w:r>
        <w:t xml:space="preserve">The October 2025 profiles (0–90 cm; Fig. 4D) show where methane is produced and removed and how sulfide is buffered at each site.</w:t>
      </w:r>
    </w:p>
    <w:p>
      <w:pPr>
        <w:pStyle w:val="BodyText"/>
      </w:pPr>
      <w:r>
        <w:rPr>
          <w:b/>
          <w:bCs/>
        </w:rPr>
        <w:t xml:space="preserve">Sulfate reduction.</w:t>
      </w:r>
      <w:r>
        <w:t xml:space="preserve"> </w:t>
      </w:r>
      <w:r>
        <w:t xml:space="preserve">Sulfate was below the amount expected from salinity at every depth (deficit relative to the seawater sulfate:salinity ratio, 28.2 mM at 35 PSU): 13–26% at the intact sites, 0–32% at CP40 and 23–62% at BL60, the largest at BL60 90 cm. No profile reached a sulfate-free zone within 90 cm. At the intact sites the deficit accounts for the measured alkalinity (two equivalents per sulfate reduced, added to the conservative-mixing alkalinity of fig. S17: 10–12 mM predicted at SRS6, 10–12.5 measured). BL60 alkalinity (29–34 mM) exceeded that prediction near the surface, plausibly organic alkalinity from its very high dissolved organic carbon (106–318 mg L−1) and iron reduction. CP40 alkalinity (15–17 mM) fell below it (22–28 mM below the surface), as expected if sulfide is reoxidized to sulfate near the surface, which consumes alkalinity; at 0 cm sulfate was at the seawater ratio despite 0.8 mM sulfide. Methane therefore accumulated at CP40 alongside active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S17).</w:t>
      </w:r>
    </w:p>
    <w:p>
      <w:pPr>
        <w:pStyle w:val="BodyText"/>
      </w:pPr>
      <w:r>
        <w:rPr>
          <w:b/>
          <w:bCs/>
        </w:rPr>
        <w:t xml:space="preserve">Sulfide and iron.</w:t>
      </w:r>
      <w:r>
        <w:t xml:space="preserve"> </w:t>
      </w:r>
      <w:r>
        <w:t xml:space="preserve">Dissolved iron and sulfide did not co-occur: iron (13–21 µM) was found only where sulfide was low (≤0.12 mM; SRS6 0–15 cm, BL60 0 cm), as expected where ferrous iron precipitates sulfide. At the intact sites sulfide was low in the upper 15 cm and rose to ~1 mM at 45–90 cm, the pattern of a surface layer kept oxidized, in which ferric iron is regenerated and sulfide removed, by oxygen loss from live roots and burrows {mckee1993;kristensen2008} and by tidal flushing (Fig. 4C); the two cannot be separated here. At CP40, sulfide reached 0.8 mM at the sediment surface, with little iron at any depth: without live roots, the oxidized surface layer was absent. At pH 6.7–6.9 about half of this sulfide is H2S. With salinity of 50–55 PSU and ammonium of 200–320 µM, this is a harsh setting for seedling establishment, consistent with the absence of canopy recovery at CP40 (Fig. 1C). Sulfide was removed from solution at every site: dissolved sulfide was a small fraction of the sulfide implied by the sulfate deficit (1–2% at BL60, 3–4% at CP40 below the surface, 1–24% at the intact sites), whether by precipitation, reoxidation or degassing. The sites differed in where sulfide remained. At the sediment surface it was low at the intact sites (0.05–0.13 mM) and at BL60 (0.08 mM), but 0.8 mM at CP40. BL60, impounded and rain-fed, also had the lowest porewater salinity of the dead or recovering stands (33–35 PSU, against 50–55 at CP40), and its canopy recovered. With one regenerating site this cannot be generalized, but it suggests that salinity first, and sulfide at the sediment surface second, may separate stands that regenerate from those that remain ghost forest.</w:t>
      </w:r>
    </w:p>
    <w:p>
      <w:pPr>
        <w:pStyle w:val="BodyText"/>
      </w:pPr>
      <w:r>
        <w:rPr>
          <w:b/>
          <w:bCs/>
        </w:rPr>
        <w:t xml:space="preserve">Oxygen and redox potential.</w:t>
      </w:r>
      <w:r>
        <w:t xml:space="preserve"> </w:t>
      </w:r>
      <w:r>
        <w:t xml:space="preserve">The 2025 sonde read a constant ~30% saturation in anoxic, sulfidic porewater and in the anoxic BL60 surface water, which the 2022 sonde had read at 0.6–2.9%; we treat this as a zero offset of the sensor and subtract it from all 2025 readings (M16). After correction, oxygen above trace levels was found only at the intact sites, in the upper 0–45 cm and most clearly at SRS6 (SRS6: 44% of saturation at 0 cm and 23–24% at 15–45 cm; SRS5: 19% at 0 cm and 6% at 15–45 cm), where redox potential was highest (−93 mV at SRS6 0 cm), sulfide lowest and iron present; ghost and regenerating porewater held ≤3%. Redox potential tracked O2 (Spearman ρ = 0.85, n = 16) and CH4 (ρ = −0.76) more closely than sulfide (ρ = −0.42). Its negative relation to salinity (ρ = −0.71) arises because the hypersaline ghost site was also the most reduced, and because within intact profiles salinity and reduction both increased with depth; it does not indicate an effect of salinity on redox. In the surface water, the CP40 pond held 88% of saturation (pH 8.4) and BL60 1.3%. Surface-water values are listed in table S15.</w:t>
      </w:r>
    </w:p>
    <w:p>
      <w:pPr>
        <w:pStyle w:val="BodyText"/>
      </w:pPr>
      <w:r>
        <w:rPr>
          <w:b/>
          <w:bCs/>
        </w:rPr>
        <w:t xml:space="preserve">Methane production and removal.</w:t>
      </w:r>
      <w:r>
        <w:t xml:space="preserve"> </w:t>
      </w:r>
      <w:r>
        <w:t xml:space="preserve">Intact porewater held little CH4 (0.2–5 µM), with very light δ13C-CH4 below the surface (−77 to −99‰). At SRS6, CH4 decreased toward the surface (1.6 to 0.2 µM) while δ13C became heavier (−93 to −65‰), the signature of methane oxidation in the oxidized upper layer. Ghost-forest CH4 instead peaked at the sediment surface (60 µM at 0 cm, 22 µM at 90 cm), with no such front, and fell twenty-fold across the sediment–water interface into the oxygenated pond (2.7 µM): production is concentrated in the surface layer of dead roots and litter, and any oxidation occurs in the water. Pond CH4 was isotopically lighter (−70.6‰) than the porewater beneath (−61 to −64‰), so it is not simply porewater methane after partial oxidation, and may include bubble-derived methane or production at the sediment surface. CP40 and BL60 porewater δ13C (−58 to −65‰) was heavier than at the intact sites; without a valid δ13C of dissolved inorganic carbon (M16), production pathway and oxidation cannot be separated isotopically. At BL60, the surface water held more CH4 (87 µM; −78.6‰) than the porewater beneath it (5–24 µM), so the fresh, stagnant impounded water is itself a methane source.</w:t>
      </w:r>
    </w:p>
    <w:bookmarkEnd w:id="35"/>
    <w:bookmarkStart w:id="36" w:name="text-s3.-regenerating-stand"/>
    <w:p>
      <w:pPr>
        <w:pStyle w:val="Heading2"/>
      </w:pPr>
      <w:r>
        <w:t xml:space="preserve">Text S3.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6"/>
    <w:bookmarkStart w:id="37" w:name="text-s4.-context-sites"/>
    <w:p>
      <w:pPr>
        <w:pStyle w:val="Heading2"/>
      </w:pPr>
      <w:r>
        <w:t xml:space="preserve">Text S4. Context sites</w:t>
      </w:r>
    </w:p>
    <w:p>
      <w:pPr>
        <w:pStyle w:val="FirstParagraph"/>
      </w:pPr>
      <w:r>
        <w:t xml:space="preserve">Single dry-season visits place the core results in a wider context (table S16);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37"/>
    <w:bookmarkStart w:id="38" w:name="X722c2c18e3dbeb738a51d3615e1b1c530e4845b"/>
    <w:p>
      <w:pPr>
        <w:pStyle w:val="Heading2"/>
      </w:pPr>
      <w:r>
        <w:t xml:space="preserve">Text S5. Net forcing under carbon-balance framings</w:t>
      </w:r>
    </w:p>
    <w:p>
      <w:pPr>
        <w:pStyle w:val="FirstParagraph"/>
      </w:pPr>
      <w:r>
        <w:t xml:space="preserve">On vertical exchange the intact class is a sink of −3,620 g CO2-eq m−2 yr−1 at GWP20 (−3,701 at GWP100), and its CH4 offsets 3% (GWP20) to 1% (GWP100) of the CO2 sink. Under the central lateral scenario (346 g C m−2 yr−1) the intact forest retains ~670 g C m−2 yr−1. With exported alkalinity retained in the ocean and the rest returned to the air, the intact sink is −2,696 g CO2-eq m−2 yr−1 at GWP20 (−2,941 to −1,697 across lateral scenarios), CH4 offsets 5% of it, and the switch is ~5,500 (~4,900 at GWP100). If all exported carbon returns to the air, the intact sink is −2,315 (−2,716 to −140)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38"/>
    <w:bookmarkStart w:id="39" w:name="X0b4ee575d6c8370ebdc094741bf76bb778b3430"/>
    <w:p>
      <w:pPr>
        <w:pStyle w:val="Heading2"/>
      </w:pPr>
      <w:r>
        <w:t xml:space="preserve">Text S6.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bookmarkEnd w:id="39"/>
    <w:bookmarkStart w:id="40" w:name="text-s7.-stem-height-extrapolation"/>
    <w:p>
      <w:pPr>
        <w:pStyle w:val="Heading2"/>
      </w:pPr>
      <w:r>
        <w:t xml:space="preserve">Text S7.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S14).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40"/>
    <w:bookmarkStart w:id="41" w:name="text-s8.-tide-and-inundation"/>
    <w:p>
      <w:pPr>
        <w:pStyle w:val="Heading2"/>
      </w:pPr>
      <w:r>
        <w:t xml:space="preserve">Text S8.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S8); the derivation of the flooded share is shown in fig. S13, A to C, and stand CH4 in each tide state in fig. S13D.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S3). An airborne check by campaign (table S10) favours the flooded representation in October 2022 and March 2023.</w:t>
      </w:r>
    </w:p>
    <w:bookmarkEnd w:id="41"/>
    <w:bookmarkStart w:id="42" w:name="text-s9.-downed-wood"/>
    <w:p>
      <w:pPr>
        <w:pStyle w:val="Heading2"/>
      </w:pPr>
      <w:r>
        <w:t xml:space="preserve">Text S9.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S3).</w:t>
      </w:r>
    </w:p>
    <w:bookmarkEnd w:id="42"/>
    <w:bookmarkStart w:id="43" w:name="text-s10.-monte-carlo-uncertainty"/>
    <w:p>
      <w:pPr>
        <w:pStyle w:val="Heading2"/>
      </w:pPr>
      <w:r>
        <w:t xml:space="preserve">Text S10.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S15).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S11.</w:t>
      </w:r>
    </w:p>
    <w:bookmarkEnd w:id="43"/>
    <w:bookmarkStart w:id="44" w:name="X6973ca52a2564d6d027f8b1ebc3932becdac374"/>
    <w:p>
      <w:pPr>
        <w:pStyle w:val="Heading2"/>
      </w:pPr>
      <w:r>
        <w:t xml:space="preserve">Text S11. Sensitivity to analytical choices</w:t>
      </w:r>
    </w:p>
    <w:p>
      <w:pPr>
        <w:pStyle w:val="FirstParagraph"/>
      </w:pPr>
      <w:r>
        <w:t xml:space="preserve">Fig. S20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S3.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4"/>
    <w:bookmarkStart w:id="45"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mean soil emission of 1.6 nmol m−2 s−1 at the Piñones reserve and ~39 at the two most urbanized sites of the San Juan Bay Estuary, Puerto Rico (Martin et al. 2020); 3–59 (zone means of 4–82 mg CH4 m−2 d−1) across sewage-effluent-affected zones in southwest Puerto Rico (Sotomayor et al. 1994);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3200400"/>
            <wp:effectExtent b="0" l="0" r="0" t="0"/>
            <wp:docPr descr="" title="" id="48" name="Picture"/>
            <a:graphic>
              <a:graphicData uri="http://schemas.openxmlformats.org/drawingml/2006/picture">
                <pic:pic>
                  <pic:nvPicPr>
                    <pic:cNvPr descr="output/figures/other/si_satellite_scenes.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1" name="Picture"/>
            <a:graphic>
              <a:graphicData uri="http://schemas.openxmlformats.org/drawingml/2006/picture">
                <pic:pic>
                  <pic:nvPicPr>
                    <pic:cNvPr descr="output/figures/other/si_ndvi.png" id="52" name="Picture"/>
                    <pic:cNvPicPr>
                      <a:picLocks noChangeArrowheads="1" noChangeAspect="1"/>
                    </pic:cNvPicPr>
                  </pic:nvPicPr>
                  <pic:blipFill>
                    <a:blip r:embed="rId50"/>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1926166"/>
            <wp:effectExtent b="0" l="0" r="0" t="0"/>
            <wp:docPr descr="" title="" id="54" name="Picture"/>
            <a:graphic>
              <a:graphicData uri="http://schemas.openxmlformats.org/drawingml/2006/picture">
                <pic:pic>
                  <pic:nvPicPr>
                    <pic:cNvPr descr="output/figures/other/si_campaign_context.png" id="55" name="Picture"/>
                    <pic:cNvPicPr>
                      <a:picLocks noChangeArrowheads="1" noChangeAspect="1"/>
                    </pic:cNvPicPr>
                  </pic:nvPicPr>
                  <pic:blipFill>
                    <a:blip r:embed="rId53"/>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Sampling design relative to tide and standing water: chamber measurements by site and campaign against water level above the soil (FCE LTER loggers; the SRS5 October 2022 record has a gap before 19 October); diamonds at −2 cm mark chambers without a recorded water depth; triangles mark dissolved-gas samples.</w:t>
      </w:r>
    </w:p>
    <w:p>
      <w:pPr>
        <w:pStyle w:val="BodyText"/>
      </w:pPr>
      <w:r>
        <w:drawing>
          <wp:inline>
            <wp:extent cx="5334000" cy="7723316"/>
            <wp:effectExtent b="0" l="0" r="0" t="0"/>
            <wp:docPr descr="" title="" id="60" name="Picture"/>
            <a:graphic>
              <a:graphicData uri="http://schemas.openxmlformats.org/drawingml/2006/picture">
                <pic:pic>
                  <pic:nvPicPr>
                    <pic:cNvPr descr="output/figures/other/pub_SI_chamber_photos.png" id="61" name="Picture"/>
                    <pic:cNvPicPr>
                      <a:picLocks noChangeArrowheads="1" noChangeAspect="1"/>
                    </pic:cNvPicPr>
                  </pic:nvPicPr>
                  <pic:blipFill>
                    <a:blip r:embed="rId59"/>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Figure S6.</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3407833"/>
            <wp:effectExtent b="0" l="0" r="0" t="0"/>
            <wp:docPr descr="" title="" id="66" name="Picture"/>
            <a:graphic>
              <a:graphicData uri="http://schemas.openxmlformats.org/drawingml/2006/picture">
                <pic:pic>
                  <pic:nvPicPr>
                    <pic:cNvPr descr="output/figures/other/pub_SI_pneumatophore_density.png" id="67" name="Picture"/>
                    <pic:cNvPicPr>
                      <a:picLocks noChangeArrowheads="1" noChangeAspect="1"/>
                    </pic:cNvPicPr>
                  </pic:nvPicPr>
                  <pic:blipFill>
                    <a:blip r:embed="rId65"/>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5185833"/>
            <wp:effectExtent b="0" l="0" r="0" t="0"/>
            <wp:docPr descr="" title="" id="69" name="Picture"/>
            <a:graphic>
              <a:graphicData uri="http://schemas.openxmlformats.org/drawingml/2006/picture">
                <pic:pic>
                  <pic:nvPicPr>
                    <pic:cNvPr descr="output/figures/other/pub_SI_ebullition_partition.png" id="70" name="Picture"/>
                    <pic:cNvPicPr>
                      <a:picLocks noChangeArrowheads="1" noChangeAspect="1"/>
                    </pic:cNvPicPr>
                  </pic:nvPicPr>
                  <pic:blipFill>
                    <a:blip r:embed="rId68"/>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Figure S8.</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6371166"/>
            <wp:effectExtent b="0" l="0" r="0" t="0"/>
            <wp:docPr descr="" title="" id="72" name="Picture"/>
            <a:graphic>
              <a:graphicData uri="http://schemas.openxmlformats.org/drawingml/2006/picture">
                <pic:pic>
                  <pic:nvPicPr>
                    <pic:cNvPr descr="output/figures/other/si_grp_dissolved.png" id="73" name="Picture"/>
                    <pic:cNvPicPr>
                      <a:picLocks noChangeArrowheads="1" noChangeAspect="1"/>
                    </pic:cNvPicPr>
                  </pic:nvPicPr>
                  <pic:blipFill>
                    <a:blip r:embed="rId71"/>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S9.</w:t>
      </w:r>
      <w:r>
        <w:t xml:space="preserve"> </w:t>
      </w:r>
      <w:r>
        <w:t xml:space="preserve">Water-surface flux from dissolved gases. (a)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0.44–6.8,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 (b) 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75" name="Picture"/>
            <a:graphic>
              <a:graphicData uri="http://schemas.openxmlformats.org/drawingml/2006/picture">
                <pic:pic>
                  <pic:nvPicPr>
                    <pic:cNvPr descr="output/figures/other/pub_stem_height_composite_combined.png" id="76" name="Picture"/>
                    <pic:cNvPicPr>
                      <a:picLocks noChangeArrowheads="1" noChangeAspect="1"/>
                    </pic:cNvPicPr>
                  </pic:nvPicPr>
                  <pic:blipFill>
                    <a:blip r:embed="rId74"/>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S10.</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S11.</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6667500"/>
            <wp:effectExtent b="0" l="0" r="0" t="0"/>
            <wp:docPr descr="" title="" id="84" name="Picture"/>
            <a:graphic>
              <a:graphicData uri="http://schemas.openxmlformats.org/drawingml/2006/picture">
                <pic:pic>
                  <pic:nvPicPr>
                    <pic:cNvPr descr="output/figures/other/si_grp_tide.png" id="85" name="Picture"/>
                    <pic:cNvPicPr>
                      <a:picLocks noChangeArrowheads="1" noChangeAspect="1"/>
                    </pic:cNvPicPr>
                  </pic:nvPicPr>
                  <pic:blipFill>
                    <a:blip r:embed="rId83"/>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Figure S13.</w:t>
      </w:r>
      <w:r>
        <w:t xml:space="preserve"> </w:t>
      </w:r>
      <w:r>
        <w:t xml:space="preserve">Flooded share of the intact forest floor at the tidal sites (M11; table S8).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 (d) 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6371166"/>
            <wp:effectExtent b="0" l="0" r="0" t="0"/>
            <wp:docPr descr="" title="" id="87" name="Picture"/>
            <a:graphic>
              <a:graphicData uri="http://schemas.openxmlformats.org/drawingml/2006/picture">
                <pic:pic>
                  <pic:nvPicPr>
                    <pic:cNvPr descr="output/figures/other/stem_extrap_clean.png" id="88" name="Picture"/>
                    <pic:cNvPicPr>
                      <a:picLocks noChangeArrowheads="1" noChangeAspect="1"/>
                    </pic:cNvPicPr>
                  </pic:nvPicPr>
                  <pic:blipFill>
                    <a:blip r:embed="rId86"/>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S14.</w:t>
      </w:r>
      <w:r>
        <w:t xml:space="preserve"> </w:t>
      </w:r>
      <w:r>
        <w:t xml:space="preserve">Stem height extrapolation (text S7).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90" name="Picture"/>
            <a:graphic>
              <a:graphicData uri="http://schemas.openxmlformats.org/drawingml/2006/picture">
                <pic:pic>
                  <pic:nvPicPr>
                    <pic:cNvPr descr="output/figures/other/si_S10_mc_uncertainty.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S15.</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S10); inverse-hyperbolic-sine axis; components that are always zero omitted.</w:t>
      </w:r>
    </w:p>
    <w:p>
      <w:pPr>
        <w:pStyle w:val="BodyText"/>
      </w:pPr>
      <w:r>
        <w:rPr>
          <w:b/>
          <w:bCs/>
        </w:rPr>
        <w:t xml:space="preserve">Figure S16.</w:t>
      </w:r>
      <w:r>
        <w:t xml:space="preserve"> </w:t>
      </w:r>
      <w:r>
        <w:rPr>
          <w:i/>
          <w:iCs/>
        </w:rPr>
        <w:t xml:space="preserve">[PLACEHOLDER — CARAFE flight tracks and coverage (E. Delaria): flight legs of each deployment (April 2022, October 2022, February and April 2023, July 2024)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7704666"/>
            <wp:effectExtent b="0" l="0" r="0" t="0"/>
            <wp:docPr descr="" title="" id="93" name="Picture"/>
            <a:graphic>
              <a:graphicData uri="http://schemas.openxmlformats.org/drawingml/2006/picture">
                <pic:pic>
                  <pic:nvPicPr>
                    <pic:cNvPr descr="output/figures/other/si_grp_porewater.png" id="94" name="Picture"/>
                    <pic:cNvPicPr>
                      <a:picLocks noChangeArrowheads="1" noChangeAspect="1"/>
                    </pic:cNvPicPr>
                  </pic:nvPicPr>
                  <pic:blipFill>
                    <a:blip r:embed="rId92"/>
                    <a:stretch>
                      <a:fillRect/>
                    </a:stretch>
                  </pic:blipFill>
                  <pic:spPr bwMode="auto">
                    <a:xfrm>
                      <a:off x="0" y="0"/>
                      <a:ext cx="5334000" cy="7704666"/>
                    </a:xfrm>
                    <a:prstGeom prst="rect">
                      <a:avLst/>
                    </a:prstGeom>
                    <a:noFill/>
                    <a:ln w="9525">
                      <a:noFill/>
                      <a:headEnd/>
                      <a:tailEnd/>
                    </a:ln>
                  </pic:spPr>
                </pic:pic>
              </a:graphicData>
            </a:graphic>
          </wp:inline>
        </w:drawing>
      </w:r>
    </w:p>
    <w:p>
      <w:pPr>
        <w:pStyle w:val="BodyText"/>
      </w:pPr>
      <w:r>
        <w:rPr>
          <w:b/>
          <w:bCs/>
        </w:rPr>
        <w:t xml:space="preserve">Figure S17.</w:t>
      </w:r>
      <w:r>
        <w:t xml:space="preserve"> </w:t>
      </w:r>
      <w:r>
        <w:t xml:space="preserve">Porewater chemistry. Porewater by site, sampling round (October 2022, March 2023, October 2025) and depth: (a) dissolved CH4 and (b) salinity (site × round × depth means; porewater only). Site names coloured by forest class. No porewater CH4 was analysed for SRS5 and SRS6 in March 2023. Alkalinity against conservative mixing and sulfate reduction (October 2025; 0–90 cm, surface water excluded; text S2): (c) Total alkalinity against salinity, with the mixing line (dashed; end-members salinity 0, 3,000 µM and salinity 35, 2,400 µM). (d) Measured against mixing-predicted alkalinity; dashed, 1:1. (e) Measured ÷ mixing-predicted alkalinity by site. (f) Alkalinity above mixing against twice the sulfate deficit (sulfate below the seawater sulfate:salinity ratio, 28.2 mM at 35 PSU); dashed, 1:1, the alkalinity sulfate reduction alone would produce (text S2). Fill, forest class; shape, site. FLM30 was not sampled for alkalinity.</w:t>
      </w:r>
    </w:p>
    <w:p>
      <w:pPr>
        <w:pStyle w:val="BodyText"/>
      </w:pPr>
      <w:r>
        <w:drawing>
          <wp:inline>
            <wp:extent cx="5334000" cy="4445000"/>
            <wp:effectExtent b="0" l="0" r="0" t="0"/>
            <wp:docPr descr="" title="" id="96" name="Picture"/>
            <a:graphic>
              <a:graphicData uri="http://schemas.openxmlformats.org/drawingml/2006/picture">
                <pic:pic>
                  <pic:nvPicPr>
                    <pic:cNvPr descr="output/figures/other/si_porewater_extra.png" id="97" name="Picture"/>
                    <pic:cNvPicPr>
                      <a:picLocks noChangeArrowheads="1" noChangeAspect="1"/>
                    </pic:cNvPicPr>
                  </pic:nvPicPr>
                  <pic:blipFill>
                    <a:blip r:embed="rId95"/>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S18.</w:t>
      </w:r>
      <w:r>
        <w:t xml:space="preserve"> </w:t>
      </w:r>
      <w:r>
        <w:t xml:space="preserve">Porewater variables not shown in Fig. 4, and the salinity–CH4 relationship by sample type. (a) October 2025 profiles of pH, ammonium and nitrate (0–90 cm; inorganic nitrogen below detection set to zero), with plot surface water, where measured, in the blue band; shaded, 0–15 cm. (b) Salinity against dissolved CH4 (site × campaign × depth means; ln(1 + x) axis), porewater and plot surface water separately: lines, the model of Fig. 4B (salinity × forest class + sample type) at each sample type, with 95% confidence bands; shape, sampling round. River and bay channels (light blue; Vaughn and Raymond 2024) are shown with the surface water.</w:t>
      </w:r>
    </w:p>
    <w:p>
      <w:pPr>
        <w:pStyle w:val="BodyText"/>
      </w:pPr>
      <w:r>
        <w:rPr>
          <w:b/>
          <w:bCs/>
        </w:rPr>
        <w:t xml:space="preserve">Figure S19.</w:t>
      </w:r>
      <w:r>
        <w:t xml:space="preserve"> </w:t>
      </w:r>
      <w:r>
        <w:rPr>
          <w:i/>
          <w:iCs/>
        </w:rPr>
        <w:t xml:space="preserve">[PLACEHOLDER — sediment metagenome detail: taxonomy by site and depth, marker-gene abundance per gram sediment and per gram organic carbon, DNA yield (Peccia laboratory).]</w:t>
      </w:r>
    </w:p>
    <w:p>
      <w:pPr>
        <w:pStyle w:val="BodyText"/>
      </w:pPr>
      <w:r>
        <w:drawing>
          <wp:inline>
            <wp:extent cx="5334000" cy="4593166"/>
            <wp:effectExtent b="0" l="0" r="0" t="0"/>
            <wp:docPr descr="" title="" id="99" name="Picture"/>
            <a:graphic>
              <a:graphicData uri="http://schemas.openxmlformats.org/drawingml/2006/picture">
                <pic:pic>
                  <pic:nvPicPr>
                    <pic:cNvPr descr="output/figures/other/si_sensitivity_switch.png" id="100" name="Picture"/>
                    <pic:cNvPicPr>
                      <a:picLocks noChangeArrowheads="1" noChangeAspect="1"/>
                    </pic:cNvPicPr>
                  </pic:nvPicPr>
                  <pic:blipFill>
                    <a:blip r:embed="rId98"/>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S20.</w:t>
      </w:r>
      <w:r>
        <w:t xml:space="preserve"> </w:t>
      </w:r>
      <w:r>
        <w:t xml:space="preserve">Sensitivity of the intact-to-ghost switch (GWP20) to analytical choices, one at a time (text S11; table S3). Vertical line, central case (6,396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370666"/>
            <wp:effectExtent b="0" l="0" r="0" t="0"/>
            <wp:docPr descr="" title="" id="102" name="Picture"/>
            <a:graphic>
              <a:graphicData uri="http://schemas.openxmlformats.org/drawingml/2006/picture">
                <pic:pic>
                  <pic:nvPicPr>
                    <pic:cNvPr descr="output/figures/other/si_switch_methods.png" id="103" name="Picture"/>
                    <pic:cNvPicPr>
                      <a:picLocks noChangeArrowheads="1" noChangeAspect="1"/>
                    </pic:cNvPicPr>
                  </pic:nvPicPr>
                  <pic:blipFill>
                    <a:blip r:embed="rId101"/>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Figure S21.</w:t>
      </w:r>
      <w:r>
        <w:t xml:space="preserve"> </w:t>
      </w:r>
      <w:r>
        <w:t xml:space="preserve">The intact-to-ghost switch by three routes (text S1):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S2.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S3.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S4.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S5.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S6.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0.58</w:t>
            </w:r>
          </w:p>
        </w:tc>
        <w:tc>
          <w:tcPr/>
          <w:p>
            <w:pPr>
              <w:pStyle w:val="Compact"/>
            </w:pPr>
            <w:r>
              <w:t xml:space="preserve">0.10</w:t>
            </w:r>
          </w:p>
        </w:tc>
        <w:tc>
          <w:tcPr/>
          <w:p>
            <w:pPr>
              <w:pStyle w:val="Compact"/>
            </w:pPr>
            <w:r>
              <w:t xml:space="preserve">1.59</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0.65</w:t>
            </w:r>
          </w:p>
        </w:tc>
        <w:tc>
          <w:tcPr/>
          <w:p>
            <w:pPr>
              <w:pStyle w:val="Compact"/>
            </w:pPr>
            <w:r>
              <w:t xml:space="preserve">0.08</w:t>
            </w:r>
          </w:p>
        </w:tc>
        <w:tc>
          <w:tcPr/>
          <w:p>
            <w:pPr>
              <w:pStyle w:val="Compact"/>
            </w:pPr>
            <w:r>
              <w:t xml:space="preserve">10.38</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0.28</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0.41</w:t>
            </w:r>
          </w:p>
        </w:tc>
        <w:tc>
          <w:tcPr/>
          <w:p>
            <w:pPr>
              <w:pStyle w:val="Compact"/>
            </w:pPr>
            <w:r>
              <w:t xml:space="preserve">0.34</w:t>
            </w:r>
          </w:p>
        </w:tc>
        <w:tc>
          <w:tcPr/>
          <w:p>
            <w:pPr>
              <w:pStyle w:val="Compact"/>
            </w:pPr>
            <w:r>
              <w:t xml:space="preserve">2.00</w:t>
            </w:r>
          </w:p>
        </w:tc>
        <w:tc>
          <w:tcPr/>
          <w:p>
            <w:pPr>
              <w:pStyle w:val="Compact"/>
            </w:pPr>
            <w:r>
              <w:t xml:space="preserve">5.15</w:t>
            </w:r>
          </w:p>
        </w:tc>
        <w:tc>
          <w:tcPr/>
          <w:p>
            <w:pPr>
              <w:pStyle w:val="Compact"/>
            </w:pPr>
            <w:r>
              <w:t xml:space="preserve">7.12</w:t>
            </w:r>
          </w:p>
        </w:tc>
        <w:tc>
          <w:tcPr/>
          <w:p>
            <w:pPr>
              <w:pStyle w:val="Compact"/>
            </w:pPr>
            <w:r>
              <w:t xml:space="preserve">-1.97</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0.69 (0.23 to 3.88)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0.64 (0.21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(0.65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S9.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1.51</w:t>
            </w:r>
          </w:p>
        </w:tc>
        <w:tc>
          <w:tcPr/>
          <w:p>
            <w:pPr>
              <w:pStyle w:val="Compact"/>
            </w:pPr>
            <w:r>
              <w:t xml:space="preserve">-3 743</w:t>
            </w:r>
          </w:p>
        </w:tc>
        <w:tc>
          <w:tcPr/>
          <w:p>
            <w:pPr>
              <w:pStyle w:val="Compact"/>
            </w:pPr>
            <w:r>
              <w:t xml:space="preserve">-3 620</w:t>
            </w:r>
          </w:p>
        </w:tc>
        <w:tc>
          <w:tcPr/>
          <w:p>
            <w:pPr>
              <w:pStyle w:val="Compact"/>
            </w:pPr>
            <w:r>
              <w:t xml:space="preserve">-5 203 to -1 895</w:t>
            </w:r>
          </w:p>
        </w:tc>
        <w:tc>
          <w:tcPr/>
          <w:p>
            <w:pPr>
              <w:pStyle w:val="Compact"/>
            </w:pPr>
            <w:r>
              <w:t xml:space="preserve">-3 701</w:t>
            </w:r>
          </w:p>
        </w:tc>
        <w:tc>
          <w:tcPr/>
          <w:p>
            <w:pPr>
              <w:pStyle w:val="Compact"/>
            </w:pPr>
            <w:r>
              <w:t xml:space="preserve">-5 279 to -1 992</w:t>
            </w:r>
          </w:p>
        </w:tc>
        <w:tc>
          <w:tcPr/>
          <w:p>
            <w:pPr>
              <w:pStyle w:val="Compact"/>
            </w:pPr>
            <w:r>
              <w:t xml:space="preserve">-3 731</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3 134</w:t>
            </w:r>
          </w:p>
        </w:tc>
        <w:tc>
          <w:tcPr/>
          <w:p>
            <w:pPr>
              <w:pStyle w:val="Compact"/>
            </w:pPr>
            <w:r>
              <w:t xml:space="preserve">34.8%</w:t>
            </w:r>
          </w:p>
        </w:tc>
      </w:tr>
    </w:tbl>
    <w:p>
      <w:pPr>
        <w:pStyle w:val="BodyText"/>
      </w:pPr>
      <w:r>
        <w:rPr>
          <w:b/>
          <w:bCs/>
        </w:rPr>
        <w:t xml:space="preserve">Table S10. Airborne end-member fluxes</w:t>
      </w:r>
      <w:r>
        <w:t xml:space="preserve"> </w:t>
      </w:r>
      <w:r>
        <w:t xml:space="preserve">(two-class disaggregation, Delaria et al. 2024) and the airborne check of the ghost-forest inundation representation (text S8).</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S11.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0.665 (0.398 to 0.955)</w:t>
            </w:r>
          </w:p>
        </w:tc>
        <w:tc>
          <w:tcPr/>
          <w:p>
            <w:pPr>
              <w:pStyle w:val="Compact"/>
            </w:pPr>
            <w:r>
              <w:t xml:space="preserve">0.608</w:t>
            </w:r>
          </w:p>
        </w:tc>
        <w:tc>
          <w:tcPr/>
          <w:p>
            <w:pPr>
              <w:pStyle w:val="Compact"/>
            </w:pPr>
            <w:r>
              <w:t xml:space="preserve">0.714</w:t>
            </w:r>
          </w:p>
        </w:tc>
        <w:tc>
          <w:tcPr/>
          <w:p>
            <w:pPr>
              <w:pStyle w:val="Compact"/>
            </w:pPr>
            <w:r>
              <w:t xml:space="preserve">1.080 (0.328 to 1.830)</w:t>
            </w:r>
          </w:p>
        </w:tc>
      </w:tr>
      <w:tr>
        <w:tc>
          <w:tcPr/>
          <w:p>
            <w:pPr>
              <w:pStyle w:val="Compact"/>
            </w:pPr>
            <w:r>
              <w:t xml:space="preserve">United States</w:t>
            </w:r>
          </w:p>
        </w:tc>
        <w:tc>
          <w:tcPr/>
          <w:p>
            <w:pPr>
              <w:pStyle w:val="Compact"/>
            </w:pPr>
            <w:r>
              <w:t xml:space="preserve">60.09</w:t>
            </w:r>
          </w:p>
        </w:tc>
        <w:tc>
          <w:tcPr/>
          <w:p>
            <w:pPr>
              <w:pStyle w:val="Compact"/>
            </w:pPr>
            <w:r>
              <w:t xml:space="preserve">0.384 (0.230 to 0.552)</w:t>
            </w:r>
          </w:p>
        </w:tc>
        <w:tc>
          <w:tcPr/>
          <w:p>
            <w:pPr>
              <w:pStyle w:val="Compact"/>
            </w:pPr>
            <w:r>
              <w:t xml:space="preserve">0.351</w:t>
            </w:r>
          </w:p>
        </w:tc>
        <w:tc>
          <w:tcPr/>
          <w:p>
            <w:pPr>
              <w:pStyle w:val="Compact"/>
            </w:pPr>
            <w:r>
              <w:t xml:space="preserve">0.413</w:t>
            </w:r>
          </w:p>
        </w:tc>
        <w:tc>
          <w:tcPr/>
          <w:p>
            <w:pPr>
              <w:pStyle w:val="Compact"/>
            </w:pPr>
            <w:r>
              <w:t xml:space="preserve">0.624 (0.189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1.109 (0.664 to 1.592)</w:t>
            </w:r>
          </w:p>
        </w:tc>
        <w:tc>
          <w:tcPr/>
          <w:p>
            <w:pPr>
              <w:pStyle w:val="Compact"/>
            </w:pPr>
            <w:r>
              <w:t xml:space="preserve">1.013</w:t>
            </w:r>
          </w:p>
        </w:tc>
        <w:tc>
          <w:tcPr/>
          <w:p>
            <w:pPr>
              <w:pStyle w:val="Compact"/>
            </w:pPr>
            <w:r>
              <w:t xml:space="preserve">1.191</w:t>
            </w:r>
          </w:p>
        </w:tc>
        <w:tc>
          <w:tcPr/>
          <w:p>
            <w:pPr>
              <w:pStyle w:val="Compact"/>
            </w:pPr>
            <w:r>
              <w:t xml:space="preserve">1.801 (0.547 to 3.051)</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(0.63 to 1.52)</w:t>
            </w:r>
          </w:p>
        </w:tc>
        <w:tc>
          <w:tcPr/>
          <w:p>
            <w:pPr>
              <w:pStyle w:val="Compact"/>
            </w:pPr>
            <w:r>
              <w:t xml:space="preserve">0.96</w:t>
            </w:r>
          </w:p>
        </w:tc>
        <w:tc>
          <w:tcPr/>
          <w:p>
            <w:pPr>
              <w:pStyle w:val="Compact"/>
            </w:pPr>
            <w:r>
              <w:t xml:space="preserve">1.71 (0.52 to 2.91)</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(0.81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S12.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0.143</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S13.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S9).</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S9)</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S8;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S1)</w:t>
            </w:r>
          </w:p>
        </w:tc>
      </w:tr>
    </w:tbl>
    <w:p>
      <w:pPr>
        <w:pStyle w:val="BodyText"/>
      </w:pPr>
      <w:r>
        <w:rPr>
          <w:b/>
          <w:bCs/>
        </w:rPr>
        <w:t xml:space="preserve">Table S14.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pPr>
        <w:pStyle w:val="BodyText"/>
      </w:pPr>
      <w:r>
        <w:rPr>
          <w:b/>
          <w:bCs/>
        </w:rPr>
        <w:t xml:space="preserve">Table S15. Plot surface water, October 2025</w:t>
      </w:r>
      <w:r>
        <w:t xml:space="preserve"> </w:t>
      </w:r>
      <w:r>
        <w:t xml:space="preserve">(text S2). SRS5 and SRS6 salinity, O2, pH and alkalinity are from the adjacent river-survey station on 22 October 2025 (Vaughn and Raymond 2024; M16); O2 after the sensor offset correction (M16); –, not measured.</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Site</w:t>
            </w:r>
          </w:p>
        </w:tc>
        <w:tc>
          <w:tcPr/>
          <w:p>
            <w:pPr>
              <w:pStyle w:val="Compact"/>
            </w:pPr>
            <w:r>
              <w:t xml:space="preserve">Salinity (PSU)</w:t>
            </w:r>
          </w:p>
        </w:tc>
        <w:tc>
          <w:tcPr/>
          <w:p>
            <w:pPr>
              <w:pStyle w:val="Compact"/>
            </w:pPr>
            <w:r>
              <w:t xml:space="preserve">O2 (% sat.)</w:t>
            </w:r>
          </w:p>
        </w:tc>
        <w:tc>
          <w:tcPr/>
          <w:p>
            <w:pPr>
              <w:pStyle w:val="Compact"/>
            </w:pPr>
            <w:r>
              <w:t xml:space="preserve">pH</w:t>
            </w:r>
          </w:p>
        </w:tc>
        <w:tc>
          <w:tcPr/>
          <w:p>
            <w:pPr>
              <w:pStyle w:val="Compact"/>
            </w:pPr>
            <w:r>
              <w:t xml:space="preserve">Redox (mV)</w:t>
            </w:r>
          </w:p>
        </w:tc>
        <w:tc>
          <w:tcPr/>
          <w:p>
            <w:pPr>
              <w:pStyle w:val="Compact"/>
            </w:pPr>
            <w:r>
              <w:t xml:space="preserve">CH4 (µM)</w:t>
            </w:r>
          </w:p>
        </w:tc>
        <w:tc>
          <w:tcPr/>
          <w:p>
            <w:pPr>
              <w:pStyle w:val="Compact"/>
            </w:pPr>
            <w:r>
              <w:t xml:space="preserve">δ13C-CH4 (‰)</w:t>
            </w:r>
          </w:p>
        </w:tc>
        <w:tc>
          <w:tcPr/>
          <w:p>
            <w:pPr>
              <w:pStyle w:val="Compact"/>
            </w:pPr>
            <w:r>
              <w:t xml:space="preserve">CO2 (µM)</w:t>
            </w:r>
          </w:p>
        </w:tc>
        <w:tc>
          <w:tcPr/>
          <w:p>
            <w:pPr>
              <w:pStyle w:val="Compact"/>
            </w:pPr>
            <w:r>
              <w:t xml:space="preserve">Alkalinity (mM)</w:t>
            </w:r>
          </w:p>
        </w:tc>
        <w:tc>
          <w:tcPr/>
          <w:p>
            <w:pPr>
              <w:pStyle w:val="Compact"/>
            </w:pPr>
            <w:r>
              <w:t xml:space="preserve">DOC (mg L−1)</w:t>
            </w:r>
          </w:p>
        </w:tc>
        <w:tc>
          <w:tcPr/>
          <w:p>
            <w:pPr>
              <w:pStyle w:val="Compact"/>
            </w:pPr>
            <w:r>
              <w:t xml:space="preserve">Sulfide (mM)</w:t>
            </w:r>
          </w:p>
        </w:tc>
        <w:tc>
          <w:tcPr/>
          <w:p>
            <w:pPr>
              <w:pStyle w:val="Compact"/>
            </w:pPr>
            <w:r>
              <w:t xml:space="preserve">Fe (µM)</w:t>
            </w:r>
          </w:p>
        </w:tc>
        <w:tc>
          <w:tcPr/>
          <w:p>
            <w:pPr>
              <w:pStyle w:val="Compact"/>
            </w:pPr>
            <w:r>
              <w:t xml:space="preserve">NH4+ (µM)</w:t>
            </w:r>
          </w:p>
        </w:tc>
      </w:tr>
      <w:tr>
        <w:tc>
          <w:tcPr/>
          <w:p>
            <w:pPr>
              <w:pStyle w:val="Compact"/>
            </w:pPr>
            <w:r>
              <w:t xml:space="preserve">SRS5</w:t>
            </w:r>
          </w:p>
        </w:tc>
        <w:tc>
          <w:tcPr/>
          <w:p>
            <w:pPr>
              <w:pStyle w:val="Compact"/>
            </w:pPr>
            <w:r>
              <w:t xml:space="preserve">9.3</w:t>
            </w:r>
          </w:p>
        </w:tc>
        <w:tc>
          <w:tcPr/>
          <w:p>
            <w:pPr>
              <w:pStyle w:val="Compact"/>
            </w:pPr>
            <w:r>
              <w:t xml:space="preserve">69</w:t>
            </w:r>
          </w:p>
        </w:tc>
        <w:tc>
          <w:tcPr/>
          <w:p>
            <w:pPr>
              <w:pStyle w:val="Compact"/>
            </w:pPr>
            <w:r>
              <w:t xml:space="preserve">7.43</w:t>
            </w:r>
          </w:p>
        </w:tc>
        <w:tc>
          <w:tcPr/>
          <w:p>
            <w:pPr>
              <w:pStyle w:val="Compact"/>
            </w:pPr>
            <w:r>
              <w:t xml:space="preserve">–</w:t>
            </w:r>
          </w:p>
        </w:tc>
        <w:tc>
          <w:tcPr/>
          <w:p>
            <w:pPr>
              <w:pStyle w:val="Compact"/>
            </w:pPr>
            <w:r>
              <w:t xml:space="preserve">0.29</w:t>
            </w:r>
          </w:p>
        </w:tc>
        <w:tc>
          <w:tcPr/>
          <w:p>
            <w:pPr>
              <w:pStyle w:val="Compact"/>
            </w:pPr>
            <w:r>
              <w:t xml:space="preserve">-72.4</w:t>
            </w:r>
          </w:p>
        </w:tc>
        <w:tc>
          <w:tcPr/>
          <w:p>
            <w:pPr>
              <w:pStyle w:val="Compact"/>
            </w:pPr>
            <w:r>
              <w:t xml:space="preserve">575</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SRS6</w:t>
            </w:r>
          </w:p>
        </w:tc>
        <w:tc>
          <w:tcPr/>
          <w:p>
            <w:pPr>
              <w:pStyle w:val="Compact"/>
            </w:pPr>
            <w:r>
              <w:t xml:space="preserve">15.5</w:t>
            </w:r>
          </w:p>
        </w:tc>
        <w:tc>
          <w:tcPr/>
          <w:p>
            <w:pPr>
              <w:pStyle w:val="Compact"/>
            </w:pPr>
            <w:r>
              <w:t xml:space="preserve">70</w:t>
            </w:r>
          </w:p>
        </w:tc>
        <w:tc>
          <w:tcPr/>
          <w:p>
            <w:pPr>
              <w:pStyle w:val="Compact"/>
            </w:pPr>
            <w:r>
              <w:t xml:space="preserve">7.49</w:t>
            </w:r>
          </w:p>
        </w:tc>
        <w:tc>
          <w:tcPr/>
          <w:p>
            <w:pPr>
              <w:pStyle w:val="Compact"/>
            </w:pPr>
            <w:r>
              <w:t xml:space="preserve">–</w:t>
            </w:r>
          </w:p>
        </w:tc>
        <w:tc>
          <w:tcPr/>
          <w:p>
            <w:pPr>
              <w:pStyle w:val="Compact"/>
            </w:pPr>
            <w:r>
              <w:t xml:space="preserve">0.46</w:t>
            </w:r>
          </w:p>
        </w:tc>
        <w:tc>
          <w:tcPr/>
          <w:p>
            <w:pPr>
              <w:pStyle w:val="Compact"/>
            </w:pPr>
            <w:r>
              <w:t xml:space="preserve">-75.5</w:t>
            </w:r>
          </w:p>
        </w:tc>
        <w:tc>
          <w:tcPr/>
          <w:p>
            <w:pPr>
              <w:pStyle w:val="Compact"/>
            </w:pPr>
            <w:r>
              <w:t xml:space="preserve">589</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BL60</w:t>
            </w:r>
          </w:p>
        </w:tc>
        <w:tc>
          <w:tcPr/>
          <w:p>
            <w:pPr>
              <w:pStyle w:val="Compact"/>
            </w:pPr>
            <w:r>
              <w:t xml:space="preserve">3.4</w:t>
            </w:r>
          </w:p>
        </w:tc>
        <w:tc>
          <w:tcPr/>
          <w:p>
            <w:pPr>
              <w:pStyle w:val="Compact"/>
            </w:pPr>
            <w:r>
              <w:t xml:space="preserve">1</w:t>
            </w:r>
          </w:p>
        </w:tc>
        <w:tc>
          <w:tcPr/>
          <w:p>
            <w:pPr>
              <w:pStyle w:val="Compact"/>
            </w:pPr>
            <w:r>
              <w:t xml:space="preserve">6.78</w:t>
            </w:r>
          </w:p>
        </w:tc>
        <w:tc>
          <w:tcPr/>
          <w:p>
            <w:pPr>
              <w:pStyle w:val="Compact"/>
            </w:pPr>
            <w:r>
              <w:t xml:space="preserve">-243</w:t>
            </w:r>
          </w:p>
        </w:tc>
        <w:tc>
          <w:tcPr/>
          <w:p>
            <w:pPr>
              <w:pStyle w:val="Compact"/>
            </w:pPr>
            <w:r>
              <w:t xml:space="preserve">86.61</w:t>
            </w:r>
          </w:p>
        </w:tc>
        <w:tc>
          <w:tcPr/>
          <w:p>
            <w:pPr>
              <w:pStyle w:val="Compact"/>
            </w:pPr>
            <w:r>
              <w:t xml:space="preserve">-78.6</w:t>
            </w:r>
          </w:p>
        </w:tc>
        <w:tc>
          <w:tcPr/>
          <w:p>
            <w:pPr>
              <w:pStyle w:val="Compact"/>
            </w:pPr>
            <w:r>
              <w:t xml:space="preserve">1096</w:t>
            </w:r>
          </w:p>
        </w:tc>
        <w:tc>
          <w:tcPr/>
          <w:p>
            <w:pPr>
              <w:pStyle w:val="Compact"/>
            </w:pPr>
            <w:r>
              <w:t xml:space="preserve">6.1</w:t>
            </w:r>
          </w:p>
        </w:tc>
        <w:tc>
          <w:tcPr/>
          <w:p>
            <w:pPr>
              <w:pStyle w:val="Compact"/>
            </w:pPr>
            <w:r>
              <w:t xml:space="preserve">66.8</w:t>
            </w:r>
          </w:p>
        </w:tc>
        <w:tc>
          <w:tcPr/>
          <w:p>
            <w:pPr>
              <w:pStyle w:val="Compact"/>
            </w:pPr>
            <w:r>
              <w:t xml:space="preserve">0.06</w:t>
            </w:r>
          </w:p>
        </w:tc>
        <w:tc>
          <w:tcPr/>
          <w:p>
            <w:pPr>
              <w:pStyle w:val="Compact"/>
            </w:pPr>
            <w:r>
              <w:t xml:space="preserve">1.8</w:t>
            </w:r>
          </w:p>
        </w:tc>
        <w:tc>
          <w:tcPr/>
          <w:p>
            <w:pPr>
              <w:pStyle w:val="Compact"/>
            </w:pPr>
            <w:r>
              <w:t xml:space="preserve">27</w:t>
            </w:r>
          </w:p>
        </w:tc>
      </w:tr>
      <w:tr>
        <w:tc>
          <w:tcPr/>
          <w:p>
            <w:pPr>
              <w:pStyle w:val="Compact"/>
            </w:pPr>
            <w:r>
              <w:t xml:space="preserve">CP40</w:t>
            </w:r>
          </w:p>
        </w:tc>
        <w:tc>
          <w:tcPr/>
          <w:p>
            <w:pPr>
              <w:pStyle w:val="Compact"/>
            </w:pPr>
            <w:r>
              <w:t xml:space="preserve">20.8</w:t>
            </w:r>
          </w:p>
        </w:tc>
        <w:tc>
          <w:tcPr/>
          <w:p>
            <w:pPr>
              <w:pStyle w:val="Compact"/>
            </w:pPr>
            <w:r>
              <w:t xml:space="preserve">88</w:t>
            </w:r>
          </w:p>
        </w:tc>
        <w:tc>
          <w:tcPr/>
          <w:p>
            <w:pPr>
              <w:pStyle w:val="Compact"/>
            </w:pPr>
            <w:r>
              <w:t xml:space="preserve">8.43</w:t>
            </w:r>
          </w:p>
        </w:tc>
        <w:tc>
          <w:tcPr/>
          <w:p>
            <w:pPr>
              <w:pStyle w:val="Compact"/>
            </w:pPr>
            <w:r>
              <w:t xml:space="preserve">-113</w:t>
            </w:r>
          </w:p>
        </w:tc>
        <w:tc>
          <w:tcPr/>
          <w:p>
            <w:pPr>
              <w:pStyle w:val="Compact"/>
            </w:pPr>
            <w:r>
              <w:t xml:space="preserve">2.74</w:t>
            </w:r>
          </w:p>
        </w:tc>
        <w:tc>
          <w:tcPr/>
          <w:p>
            <w:pPr>
              <w:pStyle w:val="Compact"/>
            </w:pPr>
            <w:r>
              <w:t xml:space="preserve">-70.6</w:t>
            </w:r>
          </w:p>
        </w:tc>
        <w:tc>
          <w:tcPr/>
          <w:p>
            <w:pPr>
              <w:pStyle w:val="Compact"/>
            </w:pPr>
            <w:r>
              <w:t xml:space="preserve">35</w:t>
            </w:r>
          </w:p>
        </w:tc>
        <w:tc>
          <w:tcPr/>
          <w:p>
            <w:pPr>
              <w:pStyle w:val="Compact"/>
            </w:pPr>
            <w:r>
              <w:t xml:space="preserve">4.7</w:t>
            </w:r>
          </w:p>
        </w:tc>
        <w:tc>
          <w:tcPr/>
          <w:p>
            <w:pPr>
              <w:pStyle w:val="Compact"/>
            </w:pPr>
            <w:r>
              <w:t xml:space="preserve">36.9</w:t>
            </w:r>
          </w:p>
        </w:tc>
        <w:tc>
          <w:tcPr/>
          <w:p>
            <w:pPr>
              <w:pStyle w:val="Compact"/>
            </w:pPr>
            <w:r>
              <w:t xml:space="preserve">0.54</w:t>
            </w:r>
          </w:p>
        </w:tc>
        <w:tc>
          <w:tcPr/>
          <w:p>
            <w:pPr>
              <w:pStyle w:val="Compact"/>
            </w:pPr>
            <w:r>
              <w:t xml:space="preserve">0.4</w:t>
            </w:r>
          </w:p>
        </w:tc>
        <w:tc>
          <w:tcPr/>
          <w:p>
            <w:pPr>
              <w:pStyle w:val="Compact"/>
            </w:pPr>
            <w:r>
              <w:t xml:space="preserve">140</w:t>
            </w:r>
          </w:p>
        </w:tc>
      </w:tr>
    </w:tbl>
    <w:p>
      <w:pPr>
        <w:pStyle w:val="BodyText"/>
      </w:pPr>
      <w:r>
        <w:rPr>
          <w:b/>
          <w:bCs/>
        </w:rPr>
        <w:t xml:space="preserve">Table S16. Component CH4 rates at all sites, campaigns pooled</w:t>
      </w:r>
      <w:r>
        <w:t xml:space="preserve"> </w:t>
      </w:r>
      <w:r>
        <w:t xml:space="preserve">(nmol m−2 s−1 per m2 of surface; 95% CI; context sites MI, RB10, SE1 alongside the core sites; text S4).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J. R. Evans, M. C. Ball, H. Lambers, T. L. Pons, Leaf respiration of snow gum in the light and dark.</w:t>
      </w:r>
      <w:r>
        <w:t xml:space="preserve"> </w:t>
      </w:r>
      <w:r>
        <w:rPr>
          <w:i/>
          <w:iCs/>
        </w:rPr>
        <w:t xml:space="preserve">Interactions between temperature and irradiance. Plant Physiol.</w:t>
      </w:r>
      <w:r>
        <w:t xml:space="preserve"> </w:t>
      </w:r>
      <w:r>
        <w:rPr>
          <w:b/>
          <w:bCs/>
        </w:rPr>
        <w:t xml:space="preserve">122</w:t>
      </w:r>
      <w:r>
        <w:t xml:space="preserve">, 915–923 (2000).</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D. B. Clark et al., The Joint UK Land Environment Simulator (JULES), model description – Part 2: Carbon fluxes and vegetation dynamics.</w:t>
      </w:r>
      <w:r>
        <w:t xml:space="preserve"> </w:t>
      </w:r>
      <w:r>
        <w:rPr>
          <w:i/>
          <w:iCs/>
        </w:rPr>
        <w:t xml:space="preserve">Geosci. Model Dev.</w:t>
      </w:r>
      <w:r>
        <w:t xml:space="preserve"> </w:t>
      </w:r>
      <w:r>
        <w:rPr>
          <w:b/>
          <w:bCs/>
        </w:rPr>
        <w:t xml:space="preserve">4</w:t>
      </w:r>
      <w:r>
        <w:t xml:space="preserve">, 701–722 (2011).</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50" Target="media/rId50.png" /><Relationship Type="http://schemas.openxmlformats.org/officeDocument/2006/relationships/image" Id="rId95" Target="media/rId95.png" /><Relationship Type="http://schemas.openxmlformats.org/officeDocument/2006/relationships/image" Id="rId47" Target="media/rId47.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0" Target="media/rId80.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2026-10-05T23:36:07Z</dcterms:created>
  <dcterms:modified xsi:type="dcterms:W3CDTF">2026-10-05T23:36:07Z</dcterms:modified>
</cp:coreProperties>
</file>

<file path=docProps/custom.xml><?xml version="1.0" encoding="utf-8"?>
<Properties xmlns="http://schemas.openxmlformats.org/officeDocument/2006/custom-properties" xmlns:vt="http://schemas.openxmlformats.org/officeDocument/2006/docPropsVTypes"/>
</file>