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83.png" ContentType="image/png"/>
  <Override PartName="/word/media/rId47.png" ContentType="image/png"/>
  <Override PartName="/word/media/rId59.png" ContentType="image/png"/>
  <Override PartName="/word/media/rId62.png" ContentType="image/png"/>
  <Override PartName="/word/media/rId56.png" ContentType="image/png"/>
  <Override PartName="/word/media/rId65.png" ContentType="image/png"/>
  <Override PartName="/word/media/rId50.png" ContentType="image/png"/>
  <Override PartName="/word/media/rId80.png" ContentType="image/png"/>
  <Override PartName="/word/media/rId86.png" ContentType="image/png"/>
  <Override PartName="/word/media/rId89.png" ContentType="image/png"/>
  <Override PartName="/word/media/rId77.png" ContentType="image/png"/>
  <Override PartName="/word/media/rId74.png" ContentType="image/png"/>
  <Override PartName="/word/media/rId92.png" ContentType="image/png"/>
  <Override PartName="/word/media/rId68.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 Against the long-term records (fig. S14), October 2022 was unusually wet (SRS6 water level above the typical October range) with tower CH4 near its seasonal maximum, whereas March 2023 had tower CH4 below the typical March range and high midday CO2 uptake; the two campaigns therefore bracket the seasonal range of CH4 rather than sample its mean, and the warmest months (July–September) were not sampled.</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fig. S14).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5D),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S6,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stand CH4 in each tide state is shown in fig. S9.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+2,776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S11). For net forcing, canopy leaf respiration (Rd25 and LAI) and tower GPP dominate the intact interval and the CH4 budget dominates the ghost interval. The intervals of the two states do not overlap: intact −5,214 to −1,918 and ghost +1,931 to +3,977 g CO2-eq m−2 yr−1 at GWP20 (−5,291 to −2,012 and +1,505 to +3,266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Built like the other classes, campaign by campaign with each campaign’s measured flooded share (0.96 of depth readings with standing water in October 2022, 0 in March 2023) and then averaged, BL60 emits ~29 g CH4 m−2 yr−1 with stem and prop-root areas midway between the ghost and intact classes, and 24–33 for no woody surface to the full intact woody surface (fig. S15B); the floor (soil and water) alone supplies ~24. This is above both ghost (~12) and intact (~1.5) forest under every structural assumption. The estimate assumes structure and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S13).</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Fig. S10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5A). Lateral export of dissolved CH4 from intact forest (~0.35 g C m−2 yr−1; Yau et al. 2024, an analogue) is small beside stand emission (1.1 g C m−2 yr−1).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95"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5926666"/>
            <wp:effectExtent b="0" l="0" r="0" t="0"/>
            <wp:docPr descr="" title="" id="51" name="Picture"/>
            <a:graphic>
              <a:graphicData uri="http://schemas.openxmlformats.org/drawingml/2006/picture">
                <pic:pic>
                  <pic:nvPicPr>
                    <pic:cNvPr descr="output/figures/other/sampling_design.png" id="52" name="Picture"/>
                    <pic:cNvPicPr>
                      <a:picLocks noChangeArrowheads="1" noChangeAspect="1"/>
                    </pic:cNvPicPr>
                  </pic:nvPicPr>
                  <pic:blipFill>
                    <a:blip r:embed="rId50"/>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370666"/>
            <wp:effectExtent b="0" l="0" r="0" t="0"/>
            <wp:docPr descr="" title="" id="54" name="Picture"/>
            <a:graphic>
              <a:graphicData uri="http://schemas.openxmlformats.org/drawingml/2006/picture">
                <pic:pic>
                  <pic:nvPicPr>
                    <pic:cNvPr descr="output/figures/other/water_positions_by_campaign.png" id="55" name="Picture"/>
                    <pic:cNvPicPr>
                      <a:picLocks noChangeArrowheads="1" noChangeAspect="1"/>
                    </pic:cNvPicPr>
                  </pic:nvPicPr>
                  <pic:blipFill>
                    <a:blip r:embed="rId53"/>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chamber position (above the flooded forest floor, or in a channel or open water at the tidal sites; the ghost and regenerating sites have no channels); bars, arithmetic means. At the two tidal sites where both positions were sampled (SRS5, SRS6; March 2023), flux did not differ between them (Wilcoxon p = 0.29 and 1), so channel and open-water placements neither missed nor inflated water hotspots.</w:t>
      </w:r>
    </w:p>
    <w:p>
      <w:pPr>
        <w:pStyle w:val="BodyText"/>
      </w:pPr>
      <w:r>
        <w:drawing>
          <wp:inline>
            <wp:extent cx="5334000" cy="6815666"/>
            <wp:effectExtent b="0" l="0" r="0" t="0"/>
            <wp:docPr descr="" title="" id="57" name="Picture"/>
            <a:graphic>
              <a:graphicData uri="http://schemas.openxmlformats.org/drawingml/2006/picture">
                <pic:pic>
                  <pic:nvPicPr>
                    <pic:cNvPr descr="output/figures/other/pub_component_by_plot_campaign_combined_condensed_boot.png" id="58" name="Picture"/>
                    <pic:cNvPicPr>
                      <a:picLocks noChangeArrowheads="1" noChangeAspect="1"/>
                    </pic:cNvPicPr>
                  </pic:nvPicPr>
                  <pic:blipFill>
                    <a:blip r:embed="rId56"/>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5185833"/>
            <wp:effectExtent b="0" l="0" r="0" t="0"/>
            <wp:docPr descr="" title="" id="60" name="Picture"/>
            <a:graphic>
              <a:graphicData uri="http://schemas.openxmlformats.org/drawingml/2006/picture">
                <pic:pic>
                  <pic:nvPicPr>
                    <pic:cNvPr descr="output/figures/other/pub_SI_ebullition_partition.png" id="61" name="Picture"/>
                    <pic:cNvPicPr>
                      <a:picLocks noChangeArrowheads="1" noChangeAspect="1"/>
                    </pic:cNvPicPr>
                  </pic:nvPicPr>
                  <pic:blipFill>
                    <a:blip r:embed="rId59"/>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3407833"/>
            <wp:effectExtent b="0" l="0" r="0" t="0"/>
            <wp:docPr descr="" title="" id="63" name="Picture"/>
            <a:graphic>
              <a:graphicData uri="http://schemas.openxmlformats.org/drawingml/2006/picture">
                <pic:pic>
                  <pic:nvPicPr>
                    <pic:cNvPr descr="output/figures/other/pub_SI_pneumatophore_density.png" id="64" name="Picture"/>
                    <pic:cNvPicPr>
                      <a:picLocks noChangeArrowheads="1" noChangeAspect="1"/>
                    </pic:cNvPicPr>
                  </pic:nvPicPr>
                  <pic:blipFill>
                    <a:blip r:embed="rId62"/>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4593166"/>
            <wp:effectExtent b="0" l="0" r="0" t="0"/>
            <wp:docPr descr="" title="" id="66" name="Picture"/>
            <a:graphic>
              <a:graphicData uri="http://schemas.openxmlformats.org/drawingml/2006/picture">
                <pic:pic>
                  <pic:nvPicPr>
                    <pic:cNvPr descr="output/figures/other/pub_stem_height_composite_combined.png" id="67" name="Picture"/>
                    <pic:cNvPicPr>
                      <a:picLocks noChangeArrowheads="1" noChangeAspect="1"/>
                    </pic:cNvPicPr>
                  </pic:nvPicPr>
                  <pic:blipFill>
                    <a:blip r:embed="rId65"/>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6371166"/>
            <wp:effectExtent b="0" l="0" r="0" t="0"/>
            <wp:docPr descr="" title="" id="69" name="Picture"/>
            <a:graphic>
              <a:graphicData uri="http://schemas.openxmlformats.org/drawingml/2006/picture">
                <pic:pic>
                  <pic:nvPicPr>
                    <pic:cNvPr descr="output/figures/other/stem_extrap_clean.png" id="70" name="Picture"/>
                    <pic:cNvPicPr>
                      <a:picLocks noChangeArrowheads="1" noChangeAspect="1"/>
                    </pic:cNvPicPr>
                  </pic:nvPicPr>
                  <pic:blipFill>
                    <a:blip r:embed="rId68"/>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72" name="Picture"/>
            <a:graphic>
              <a:graphicData uri="http://schemas.openxmlformats.org/drawingml/2006/picture">
                <pic:pic>
                  <pic:nvPicPr>
                    <pic:cNvPr descr="output/figures/other/SA_by_segment_height_fixedY.png" id="73" name="Picture"/>
                    <pic:cNvPicPr>
                      <a:picLocks noChangeArrowheads="1" noChangeAspect="1"/>
                    </pic:cNvPicPr>
                  </pic:nvPicPr>
                  <pic:blipFill>
                    <a:blip r:embed="rId7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2963333"/>
            <wp:effectExtent b="0" l="0" r="0" t="0"/>
            <wp:docPr descr="" title="" id="75" name="Picture"/>
            <a:graphic>
              <a:graphicData uri="http://schemas.openxmlformats.org/drawingml/2006/picture">
                <pic:pic>
                  <pic:nvPicPr>
                    <pic:cNvPr descr="output/figures/other/si_tide_states.png" id="76" name="Picture"/>
                    <pic:cNvPicPr>
                      <a:picLocks noChangeArrowheads="1" noChangeAspect="1"/>
                    </pic:cNvPicPr>
                  </pic:nvPicPr>
                  <pic:blipFill>
                    <a:blip r:embed="rId74"/>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4593166"/>
            <wp:effectExtent b="0" l="0" r="0" t="0"/>
            <wp:docPr descr="" title="" id="78" name="Picture"/>
            <a:graphic>
              <a:graphicData uri="http://schemas.openxmlformats.org/drawingml/2006/picture">
                <pic:pic>
                  <pic:nvPicPr>
                    <pic:cNvPr descr="output/figures/other/si_sensitivity_switch.png" id="79" name="Picture"/>
                    <pic:cNvPicPr>
                      <a:picLocks noChangeArrowheads="1" noChangeAspect="1"/>
                    </pic:cNvPicPr>
                  </pic:nvPicPr>
                  <pic:blipFill>
                    <a:blip r:embed="rId77"/>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Sensitivity of the intact-to-ghost switch (GWP20) to analytical choices, one at a time (text S9; table S10). Vertical line, central case (6,411 g CO2-eq m−2 yr−1); points left of it lower the switch, right of it raise it. Analytical choices keep the switch between ~5,600 and ~8,000 (GWP100: ~5,100–7,300); only carbon-balance framings that count lateral export or storage alone lower it further.</w:t>
      </w:r>
    </w:p>
    <w:p>
      <w:pPr>
        <w:pStyle w:val="BodyText"/>
      </w:pPr>
      <w:r>
        <w:drawing>
          <wp:inline>
            <wp:extent cx="5334000" cy="2667000"/>
            <wp:effectExtent b="0" l="0" r="0" t="0"/>
            <wp:docPr descr="" title="" id="81" name="Picture"/>
            <a:graphic>
              <a:graphicData uri="http://schemas.openxmlformats.org/drawingml/2006/picture">
                <pic:pic>
                  <pic:nvPicPr>
                    <pic:cNvPr descr="output/figures/other/si_S10_mc_uncertainty.png" id="82" name="Picture"/>
                    <pic:cNvPicPr>
                      <a:picLocks noChangeArrowheads="1" noChangeAspect="1"/>
                    </pic:cNvPicPr>
                  </pic:nvPicPr>
                  <pic:blipFill>
                    <a:blip r:embed="rId80"/>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S4); inverse-hyperbolic-sine axis; components that are always zero omitted.</w:t>
      </w:r>
    </w:p>
    <w:p>
      <w:pPr>
        <w:pStyle w:val="BodyText"/>
      </w:pPr>
      <w:r>
        <w:drawing>
          <wp:inline>
            <wp:extent cx="5334000" cy="5482166"/>
            <wp:effectExtent b="0" l="0" r="0" t="0"/>
            <wp:docPr descr="" title="" id="84" name="Picture"/>
            <a:graphic>
              <a:graphicData uri="http://schemas.openxmlformats.org/drawingml/2006/picture">
                <pic:pic>
                  <pic:nvPicPr>
                    <pic:cNvPr descr="output/figures/other/ed_porewater_rounds.png" id="85" name="Picture"/>
                    <pic:cNvPicPr>
                      <a:picLocks noChangeArrowheads="1" noChangeAspect="1"/>
                    </pic:cNvPicPr>
                  </pic:nvPicPr>
                  <pic:blipFill>
                    <a:blip r:embed="rId83"/>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Porewater by site, sampling round (October 2022, March 2023, October 2025) and depth: (a) dissolved CH4 and (b) salinity (site × round × depth means; porewater only); (c) salinity against dissolved CH4 by site (including surface water; shape, round; log(1 + x) axis). Site names coloured by forest class. No porewater CH4 was analysed for SRS5 and SRS6 in March 2023.</w:t>
      </w:r>
    </w:p>
    <w:p>
      <w:pPr>
        <w:pStyle w:val="BodyText"/>
      </w:pPr>
      <w:r>
        <w:drawing>
          <wp:inline>
            <wp:extent cx="5334000" cy="2222500"/>
            <wp:effectExtent b="0" l="0" r="0" t="0"/>
            <wp:docPr descr="" title="" id="87" name="Picture"/>
            <a:graphic>
              <a:graphicData uri="http://schemas.openxmlformats.org/drawingml/2006/picture">
                <pic:pic>
                  <pic:nvPicPr>
                    <pic:cNvPr descr="output/figures/other/si_S12_carbonate.png" id="88" name="Picture"/>
                    <pic:cNvPicPr>
                      <a:picLocks noChangeArrowheads="1" noChangeAspect="1"/>
                    </pic:cNvPicPr>
                  </pic:nvPicPr>
                  <pic:blipFill>
                    <a:blip r:embed="rId86"/>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Porewater alkalinity against conservative mixing (October 2025; 0–90 cm, surface water excluded; text S7). (a) Total alkalinity against salinity, with the mixing line (dashed; end-members salinity 0, 3,000 µM and salinity 35, 2,400 µM). (b) Measured against mixing-predicted alkalinity; dashed, 1:1. (c) Measured ÷ mixing-predicted alkalinity by site. Fill, forest class; shape, site. FLM30 was not sampled for alkalinity.</w:t>
      </w:r>
    </w:p>
    <w:p>
      <w:pPr>
        <w:pStyle w:val="BodyText"/>
      </w:pPr>
      <w:r>
        <w:drawing>
          <wp:inline>
            <wp:extent cx="5334000" cy="1926166"/>
            <wp:effectExtent b="0" l="0" r="0" t="0"/>
            <wp:docPr descr="" title="" id="90" name="Picture"/>
            <a:graphic>
              <a:graphicData uri="http://schemas.openxmlformats.org/drawingml/2006/picture">
                <pic:pic>
                  <pic:nvPicPr>
                    <pic:cNvPr descr="output/figures/other/si_campaign_context.png" id="91" name="Picture"/>
                    <pic:cNvPicPr>
                      <a:picLocks noChangeArrowheads="1" noChangeAspect="1"/>
                    </pic:cNvPicPr>
                  </pic:nvPicPr>
                  <pic:blipFill>
                    <a:blip r:embed="rId89"/>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Campaign context (M2). Monthly z-scores of SRS6 water level (FCE LTER, 2001–2024), air temperature and midday net CO2 uptake (US-Skr tower, 2004–2011 and 2018–2023) and tower CH4 flux (2018–2023; FCH4 + storage, quality flag ≤ 1, u* &gt; 0.2), each standardised over all of its year-months. Lines, median for each calendar month; bands, interquartile range across years (16–22 years per month for water level, 2–6 for tower CH4); points, the campaign months (October 2022, March 2023) with ±1 SD of daily means within the month; shading, campaign months. The tower CH4 record carries a negative dry-season offset that the z-score removes; only its seasonal pattern is shown.</w:t>
      </w:r>
    </w:p>
    <w:p>
      <w:pPr>
        <w:pStyle w:val="BodyText"/>
      </w:pPr>
      <w:r>
        <w:drawing>
          <wp:inline>
            <wp:extent cx="5334000" cy="4741333"/>
            <wp:effectExtent b="0" l="0" r="0" t="0"/>
            <wp:docPr descr="" title="" id="93" name="Picture"/>
            <a:graphic>
              <a:graphicData uri="http://schemas.openxmlformats.org/drawingml/2006/picture">
                <pic:pic>
                  <pic:nvPicPr>
                    <pic:cNvPr descr="output/figures/other/site_closure_comparison.png" id="94" name="Picture"/>
                    <pic:cNvPicPr>
                      <a:picLocks noChangeArrowheads="1" noChangeAspect="1"/>
                    </pic:cNvPicPr>
                  </pic:nvPicPr>
                  <pic:blipFill>
                    <a:blip r:embed="rId92"/>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Class-mean bottom-up CH4 by component and campaign compared with the airborne estimate. (a) Stacked component contributions (nmol m−2 ground s−1); dashed outlines mark classes with assumed structure (no TLS: regenerating, scrub and context sites); diamonds, airborne class flux ± SE (intact and ghost only). (b) Component coverage: chambers per class and campaign; white cells with 0, component not measured on that visit; pale cells, class not visited.</w:t>
      </w:r>
    </w:p>
    <w:p>
      <w:pPr>
        <w:pStyle w:val="BodyText"/>
      </w:pPr>
      <w:r>
        <w:rPr>
          <w:b/>
          <w:bCs/>
        </w:rPr>
        <w:t xml:space="preserve">Fig. S16.</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95"/>
    <w:bookmarkStart w:id="96" w:name="supplementary-tables"/>
    <w:p>
      <w:pPr>
        <w:pStyle w:val="Heading1"/>
      </w:pPr>
      <w:r>
        <w:t xml:space="preserve">Supplementary Tables</w:t>
      </w:r>
    </w:p>
    <w:p>
      <w:pPr>
        <w:pStyle w:val="FirstParagraph"/>
      </w:pPr>
      <w:r>
        <w:rPr>
          <w:b/>
          <w:bCs/>
        </w:rPr>
        <w:t xml:space="preserve">Table S1. Study sites.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Name</w:t>
            </w:r>
          </w:p>
        </w:tc>
        <w:tc>
          <w:tcPr/>
          <w:p>
            <w:pPr>
              <w:pStyle w:val="Compact"/>
            </w:pPr>
            <w:r>
              <w:t xml:space="preserve">Class</w:t>
            </w:r>
          </w:p>
        </w:tc>
        <w:tc>
          <w:tcPr/>
          <w:p>
            <w:pPr>
              <w:pStyle w:val="Compact"/>
            </w:pPr>
            <w:r>
              <w:t xml:space="preserve">Latitude</w:t>
            </w:r>
          </w:p>
        </w:tc>
        <w:tc>
          <w:tcPr/>
          <w:p>
            <w:pPr>
              <w:pStyle w:val="Compact"/>
            </w:pPr>
            <w:r>
              <w:t xml:space="preserve">Longitude</w:t>
            </w:r>
          </w:p>
        </w:tc>
        <w:tc>
          <w:tcPr/>
          <w:p>
            <w:pPr>
              <w:pStyle w:val="Compact"/>
            </w:pPr>
            <w:r>
              <w:t xml:space="preserve">Dominant species</w:t>
            </w:r>
          </w:p>
        </w:tc>
      </w:tr>
      <w:tr>
        <w:tc>
          <w:tcPr/>
          <w:p>
            <w:pPr>
              <w:pStyle w:val="Compact"/>
            </w:pPr>
            <w:r>
              <w:t xml:space="preserve">FLM30</w:t>
            </w:r>
          </w:p>
        </w:tc>
        <w:tc>
          <w:tcPr/>
          <w:p>
            <w:pPr>
              <w:pStyle w:val="Compact"/>
            </w:pPr>
            <w:r>
              <w:t xml:space="preserve">Flamingo</w:t>
            </w:r>
          </w:p>
        </w:tc>
        <w:tc>
          <w:tcPr/>
          <w:p>
            <w:pPr>
              <w:pStyle w:val="Compact"/>
            </w:pPr>
            <w:r>
              <w:t xml:space="preserve">ghost (core)</w:t>
            </w:r>
          </w:p>
        </w:tc>
        <w:tc>
          <w:tcPr/>
          <w:p>
            <w:pPr>
              <w:pStyle w:val="Compact"/>
            </w:pPr>
            <w:r>
              <w:t xml:space="preserve">25.15989</w:t>
            </w:r>
          </w:p>
        </w:tc>
        <w:tc>
          <w:tcPr/>
          <w:p>
            <w:pPr>
              <w:pStyle w:val="Compact"/>
            </w:pPr>
            <w:r>
              <w:t xml:space="preserve">-80.91197</w:t>
            </w:r>
          </w:p>
        </w:tc>
        <w:tc>
          <w:tcPr/>
          <w:p>
            <w:pPr>
              <w:pStyle w:val="Compact"/>
            </w:pPr>
            <w:r>
              <w:t xml:space="preserve">Avicennia germinans, Conocarpus erectus</w:t>
            </w:r>
          </w:p>
        </w:tc>
      </w:tr>
      <w:tr>
        <w:tc>
          <w:tcPr/>
          <w:p>
            <w:pPr>
              <w:pStyle w:val="Compact"/>
            </w:pPr>
            <w:r>
              <w:t xml:space="preserve">CP40</w:t>
            </w:r>
          </w:p>
        </w:tc>
        <w:tc>
          <w:tcPr/>
          <w:p>
            <w:pPr>
              <w:pStyle w:val="Compact"/>
            </w:pPr>
            <w:r>
              <w:t xml:space="preserve">Christian Point</w:t>
            </w:r>
          </w:p>
        </w:tc>
        <w:tc>
          <w:tcPr/>
          <w:p>
            <w:pPr>
              <w:pStyle w:val="Compact"/>
            </w:pPr>
            <w:r>
              <w:t xml:space="preserve">ghost (core)</w:t>
            </w:r>
          </w:p>
        </w:tc>
        <w:tc>
          <w:tcPr/>
          <w:p>
            <w:pPr>
              <w:pStyle w:val="Compact"/>
            </w:pPr>
            <w:r>
              <w:t xml:space="preserve">25.14932</w:t>
            </w:r>
          </w:p>
        </w:tc>
        <w:tc>
          <w:tcPr/>
          <w:p>
            <w:pPr>
              <w:pStyle w:val="Compact"/>
            </w:pPr>
            <w:r>
              <w:t xml:space="preserve">-80.91102</w:t>
            </w:r>
          </w:p>
        </w:tc>
        <w:tc>
          <w:tcPr/>
          <w:p>
            <w:pPr>
              <w:pStyle w:val="Compact"/>
            </w:pPr>
            <w:r>
              <w:t xml:space="preserve">Avicennia germinans</w:t>
            </w:r>
          </w:p>
        </w:tc>
      </w:tr>
      <w:tr>
        <w:tc>
          <w:tcPr/>
          <w:p>
            <w:pPr>
              <w:pStyle w:val="Compact"/>
            </w:pPr>
            <w:r>
              <w:t xml:space="preserve">BL60</w:t>
            </w:r>
          </w:p>
        </w:tc>
        <w:tc>
          <w:tcPr/>
          <w:p>
            <w:pPr>
              <w:pStyle w:val="Compact"/>
            </w:pPr>
            <w:r>
              <w:t xml:space="preserve">Bear Lake</w:t>
            </w:r>
          </w:p>
        </w:tc>
        <w:tc>
          <w:tcPr/>
          <w:p>
            <w:pPr>
              <w:pStyle w:val="Compact"/>
            </w:pPr>
            <w:r>
              <w:t xml:space="preserve">regenerating (core)</w:t>
            </w:r>
          </w:p>
        </w:tc>
        <w:tc>
          <w:tcPr/>
          <w:p>
            <w:pPr>
              <w:pStyle w:val="Compact"/>
            </w:pPr>
            <w:r>
              <w:t xml:space="preserve">25.15783</w:t>
            </w:r>
          </w:p>
        </w:tc>
        <w:tc>
          <w:tcPr/>
          <w:p>
            <w:pPr>
              <w:pStyle w:val="Compact"/>
            </w:pPr>
            <w:r>
              <w:t xml:space="preserve">-80.92320</w:t>
            </w:r>
          </w:p>
        </w:tc>
        <w:tc>
          <w:tcPr/>
          <w:p>
            <w:pPr>
              <w:pStyle w:val="Compact"/>
            </w:pPr>
            <w:r>
              <w:t xml:space="preserve">Rhizophora mangle, Avicennia germinans</w:t>
            </w:r>
          </w:p>
        </w:tc>
      </w:tr>
      <w:tr>
        <w:tc>
          <w:tcPr/>
          <w:p>
            <w:pPr>
              <w:pStyle w:val="Compact"/>
            </w:pPr>
            <w:r>
              <w:t xml:space="preserve">SE1</w:t>
            </w:r>
          </w:p>
        </w:tc>
        <w:tc>
          <w:tcPr/>
          <w:p>
            <w:pPr>
              <w:pStyle w:val="Compact"/>
            </w:pPr>
            <w:r>
              <w:t xml:space="preserve">SE-1 / US-EvM</w:t>
            </w:r>
          </w:p>
        </w:tc>
        <w:tc>
          <w:tcPr/>
          <w:p>
            <w:pPr>
              <w:pStyle w:val="Compact"/>
            </w:pPr>
            <w:r>
              <w:t xml:space="preserve">scrub (context)</w:t>
            </w:r>
          </w:p>
        </w:tc>
        <w:tc>
          <w:tcPr/>
          <w:p>
            <w:pPr>
              <w:pStyle w:val="Compact"/>
            </w:pPr>
            <w:r>
              <w:t xml:space="preserve">25.35310</w:t>
            </w:r>
          </w:p>
        </w:tc>
        <w:tc>
          <w:tcPr/>
          <w:p>
            <w:pPr>
              <w:pStyle w:val="Compact"/>
            </w:pPr>
            <w:r>
              <w:t xml:space="preserve">-80.38071</w:t>
            </w:r>
          </w:p>
        </w:tc>
        <w:tc>
          <w:tcPr/>
          <w:p>
            <w:pPr>
              <w:pStyle w:val="Compact"/>
            </w:pPr>
            <w:r>
              <w:t xml:space="preserve">Rhizophora mangle, Avicennia germinans</w:t>
            </w:r>
          </w:p>
        </w:tc>
      </w:tr>
      <w:tr>
        <w:tc>
          <w:tcPr/>
          <w:p>
            <w:pPr>
              <w:pStyle w:val="Compact"/>
            </w:pPr>
            <w:r>
              <w:t xml:space="preserve">MI</w:t>
            </w:r>
          </w:p>
        </w:tc>
        <w:tc>
          <w:tcPr/>
          <w:p>
            <w:pPr>
              <w:pStyle w:val="Compact"/>
            </w:pPr>
            <w:r>
              <w:t xml:space="preserve">Marco Island</w:t>
            </w:r>
          </w:p>
        </w:tc>
        <w:tc>
          <w:tcPr/>
          <w:p>
            <w:pPr>
              <w:pStyle w:val="Compact"/>
            </w:pPr>
            <w:r>
              <w:t xml:space="preserve">ghost (context)</w:t>
            </w:r>
          </w:p>
        </w:tc>
        <w:tc>
          <w:tcPr/>
          <w:p>
            <w:pPr>
              <w:pStyle w:val="Compact"/>
            </w:pPr>
            <w:r>
              <w:t xml:space="preserve">25.93033</w:t>
            </w:r>
          </w:p>
        </w:tc>
        <w:tc>
          <w:tcPr/>
          <w:p>
            <w:pPr>
              <w:pStyle w:val="Compact"/>
            </w:pPr>
            <w:r>
              <w:t xml:space="preserve">-81.67251</w:t>
            </w:r>
          </w:p>
        </w:tc>
        <w:tc>
          <w:tcPr/>
          <w:p>
            <w:pPr>
              <w:pStyle w:val="Compact"/>
            </w:pPr>
            <w:r>
              <w:t xml:space="preserve">Avicennia germinans</w:t>
            </w:r>
          </w:p>
        </w:tc>
      </w:tr>
      <w:tr>
        <w:tc>
          <w:tcPr/>
          <w:p>
            <w:pPr>
              <w:pStyle w:val="Compact"/>
            </w:pPr>
            <w:r>
              <w:t xml:space="preserve">RB10</w:t>
            </w:r>
          </w:p>
        </w:tc>
        <w:tc>
          <w:tcPr/>
          <w:p>
            <w:pPr>
              <w:pStyle w:val="Compact"/>
            </w:pPr>
            <w:r>
              <w:t xml:space="preserve">Rookery Bay</w:t>
            </w:r>
          </w:p>
        </w:tc>
        <w:tc>
          <w:tcPr/>
          <w:p>
            <w:pPr>
              <w:pStyle w:val="Compact"/>
            </w:pPr>
            <w:r>
              <w:t xml:space="preserve">intact (context)</w:t>
            </w:r>
          </w:p>
        </w:tc>
        <w:tc>
          <w:tcPr/>
          <w:p>
            <w:pPr>
              <w:pStyle w:val="Compact"/>
            </w:pPr>
            <w:r>
              <w:t xml:space="preserve">25.86289</w:t>
            </w:r>
          </w:p>
        </w:tc>
        <w:tc>
          <w:tcPr/>
          <w:p>
            <w:pPr>
              <w:pStyle w:val="Compact"/>
            </w:pPr>
            <w:r>
              <w:t xml:space="preserve">-81.56119</w:t>
            </w:r>
          </w:p>
        </w:tc>
        <w:tc>
          <w:tcPr/>
          <w:p>
            <w:pPr>
              <w:pStyle w:val="Compact"/>
            </w:pPr>
            <w:r>
              <w:t xml:space="preserve">Rhizophora mangle</w:t>
            </w:r>
          </w:p>
        </w:tc>
      </w:tr>
      <w:tr>
        <w:tc>
          <w:tcPr/>
          <w:p>
            <w:pPr>
              <w:pStyle w:val="Compact"/>
            </w:pPr>
            <w:r>
              <w:t xml:space="preserve">SRS5</w:t>
            </w:r>
          </w:p>
        </w:tc>
        <w:tc>
          <w:tcPr/>
          <w:p>
            <w:pPr>
              <w:pStyle w:val="Compact"/>
            </w:pPr>
            <w:r>
              <w:t xml:space="preserve">Gunboat Island / SRS5</w:t>
            </w:r>
          </w:p>
        </w:tc>
        <w:tc>
          <w:tcPr/>
          <w:p>
            <w:pPr>
              <w:pStyle w:val="Compact"/>
            </w:pPr>
            <w:r>
              <w:t xml:space="preserve">intact (core)</w:t>
            </w:r>
          </w:p>
        </w:tc>
        <w:tc>
          <w:tcPr/>
          <w:p>
            <w:pPr>
              <w:pStyle w:val="Compact"/>
            </w:pPr>
            <w:r>
              <w:t xml:space="preserve">25.37702</w:t>
            </w:r>
          </w:p>
        </w:tc>
        <w:tc>
          <w:tcPr/>
          <w:p>
            <w:pPr>
              <w:pStyle w:val="Compact"/>
            </w:pPr>
            <w:r>
              <w:t xml:space="preserve">-81.03235</w:t>
            </w:r>
          </w:p>
        </w:tc>
        <w:tc>
          <w:tcPr/>
          <w:p>
            <w:pPr>
              <w:pStyle w:val="Compact"/>
            </w:pPr>
            <w:r>
              <w:t xml:space="preserve">Rhizophora mangle</w:t>
            </w:r>
          </w:p>
        </w:tc>
      </w:tr>
      <w:tr>
        <w:tc>
          <w:tcPr/>
          <w:p>
            <w:pPr>
              <w:pStyle w:val="Compact"/>
            </w:pPr>
            <w:r>
              <w:t xml:space="preserve">SRS6</w:t>
            </w:r>
          </w:p>
        </w:tc>
        <w:tc>
          <w:tcPr/>
          <w:p>
            <w:pPr>
              <w:pStyle w:val="Compact"/>
            </w:pPr>
            <w:r>
              <w:t xml:space="preserve">Lower Shark / SRS6</w:t>
            </w:r>
          </w:p>
        </w:tc>
        <w:tc>
          <w:tcPr/>
          <w:p>
            <w:pPr>
              <w:pStyle w:val="Compact"/>
            </w:pPr>
            <w:r>
              <w:t xml:space="preserve">intact (core)</w:t>
            </w:r>
          </w:p>
        </w:tc>
        <w:tc>
          <w:tcPr/>
          <w:p>
            <w:pPr>
              <w:pStyle w:val="Compact"/>
            </w:pPr>
            <w:r>
              <w:t xml:space="preserve">25.36463</w:t>
            </w:r>
          </w:p>
        </w:tc>
        <w:tc>
          <w:tcPr/>
          <w:p>
            <w:pPr>
              <w:pStyle w:val="Compact"/>
            </w:pPr>
            <w:r>
              <w:t xml:space="preserve">-81.07795</w:t>
            </w:r>
          </w:p>
        </w:tc>
        <w:tc>
          <w:tcPr/>
          <w:p>
            <w:pPr>
              <w:pStyle w:val="Compact"/>
            </w:pPr>
            <w:r>
              <w:t xml:space="preserve">Rhizophora mangle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33.89)</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3.96)</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(-2.29 to -0.34)</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(-3.33 to -1.24)</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(0.40 to 2.11)</w:t>
            </w:r>
          </w:p>
        </w:tc>
        <w:tc>
          <w:tcPr/>
          <w:p>
            <w:pPr>
              <w:pStyle w:val="Compact"/>
            </w:pPr>
            <w:r>
              <w:t xml:space="preserve">2.26 (1.25 to 3.57)</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(0.66 to 14.59)</w:t>
            </w:r>
          </w:p>
        </w:tc>
        <w:tc>
          <w:tcPr/>
          <w:p>
            <w:pPr>
              <w:pStyle w:val="Compact"/>
            </w:pPr>
            <w:r>
              <w:t xml:space="preserve">2.17 (1.16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3.11)</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5.19)</w:t>
            </w:r>
          </w:p>
        </w:tc>
        <w:tc>
          <w:tcPr/>
          <w:p>
            <w:pPr>
              <w:pStyle w:val="Compact"/>
            </w:pPr>
            <w:r>
              <w:t xml:space="preserve">0.54 (0.05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(4.88 to 21.68)</w:t>
            </w:r>
          </w:p>
        </w:tc>
        <w:tc>
          <w:tcPr/>
          <w:p>
            <w:pPr>
              <w:pStyle w:val="Compact"/>
            </w:pPr>
            <w:r>
              <w:t xml:space="preserve">1.49 (0.92 to 2.03)</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2.16)</w:t>
            </w:r>
          </w:p>
        </w:tc>
        <w:tc>
          <w:tcPr/>
          <w:p>
            <w:pPr>
              <w:pStyle w:val="Compact"/>
            </w:pPr>
            <w:r>
              <w:t xml:space="preserve">1.29 (1.04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(5.58 to 20.96)</w:t>
            </w:r>
          </w:p>
        </w:tc>
        <w:tc>
          <w:tcPr/>
          <w:p>
            <w:pPr>
              <w:pStyle w:val="Compact"/>
            </w:pPr>
            <w:r>
              <w:t xml:space="preserve">1.97 (1.09 to 3.01)</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(28.00 to 93.95)</w:t>
            </w:r>
          </w:p>
        </w:tc>
        <w:tc>
          <w:tcPr/>
          <w:p>
            <w:pPr>
              <w:pStyle w:val="Compact"/>
            </w:pPr>
            <w:r>
              <w:t xml:space="preserve">8.70 (6.76 to 10.85)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(4.74 to 10.61)</w:t>
            </w:r>
          </w:p>
        </w:tc>
        <w:tc>
          <w:tcPr/>
          <w:p>
            <w:pPr>
              <w:pStyle w:val="Compact"/>
            </w:pPr>
            <w:r>
              <w:t xml:space="preserve">1.84 (1.43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(8.71 to 30.17)</w:t>
            </w:r>
          </w:p>
        </w:tc>
        <w:tc>
          <w:tcPr/>
          <w:p>
            <w:pPr>
              <w:pStyle w:val="Compact"/>
            </w:pPr>
            <w:r>
              <w:t xml:space="preserve">2.70 (2.22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0.63)</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(0.39 to 2.10)</w:t>
            </w:r>
          </w:p>
        </w:tc>
        <w:tc>
          <w:tcPr/>
          <w:p>
            <w:pPr>
              <w:pStyle w:val="Compact"/>
            </w:pPr>
            <w:r>
              <w:t xml:space="preserve">3.74 (3.15 to 4.35)</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(6.98 to 81.66)</w:t>
            </w:r>
          </w:p>
        </w:tc>
        <w:tc>
          <w:tcPr/>
          <w:p>
            <w:pPr>
              <w:pStyle w:val="Compact"/>
            </w:pPr>
            <w:r>
              <w:t xml:space="preserve">7.33 (5.40 to 9.70)</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0.70)</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(5.35 to 7.44)</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(22.03 to 63.04)</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(0.52 to 1.21)</w:t>
            </w:r>
          </w:p>
        </w:tc>
        <w:tc>
          <w:tcPr/>
          <w:p>
            <w:pPr>
              <w:pStyle w:val="Compact"/>
            </w:pPr>
            <w:r>
              <w:t xml:space="preserve">1.37 (1.16 to 1.59)</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88.92)</w:t>
            </w:r>
          </w:p>
        </w:tc>
        <w:tc>
          <w:tcPr/>
          <w:p>
            <w:pPr>
              <w:pStyle w:val="Compact"/>
            </w:pPr>
            <w:r>
              <w:t xml:space="preserve">2.06 (1.70 to 2.51)</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70.17</w:t>
            </w:r>
          </w:p>
        </w:tc>
        <w:tc>
          <w:tcPr/>
          <w:p>
            <w:pPr>
              <w:pStyle w:val="Compact"/>
            </w:pPr>
            <w:r>
              <w:t xml:space="preserve">0.26</w:t>
            </w:r>
          </w:p>
        </w:tc>
        <w:tc>
          <w:tcPr/>
          <w:p>
            <w:pPr>
              <w:pStyle w:val="Compact"/>
            </w:pPr>
            <w:r>
              <w:t xml:space="preserve">70.77</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0.03</w:t>
            </w:r>
          </w:p>
        </w:tc>
        <w:tc>
          <w:tcPr/>
          <w:p>
            <w:pPr>
              <w:pStyle w:val="Compact"/>
            </w:pPr>
            <w:r>
              <w:t xml:space="preserve">8.24</w:t>
            </w:r>
          </w:p>
        </w:tc>
        <w:tc>
          <w:tcPr/>
          <w:p>
            <w:pPr>
              <w:pStyle w:val="Compact"/>
            </w:pPr>
            <w:r>
              <w:t xml:space="preserve">5.91</w:t>
            </w:r>
          </w:p>
        </w:tc>
        <w:tc>
          <w:tcPr/>
          <w:p>
            <w:pPr>
              <w:pStyle w:val="Compact"/>
            </w:pPr>
            <w:r>
              <w:t xml:space="preserve">-0.01</w:t>
            </w:r>
          </w:p>
        </w:tc>
        <w:tc>
          <w:tcPr/>
          <w:p>
            <w:pPr>
              <w:pStyle w:val="Compact"/>
            </w:pPr>
            <w:r>
              <w:t xml:space="preserve">14.32</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28.77</w:t>
            </w:r>
          </w:p>
        </w:tc>
        <w:tc>
          <w:tcPr/>
          <w:p>
            <w:pPr>
              <w:pStyle w:val="Compact"/>
            </w:pPr>
            <w:r>
              <w:t xml:space="preserve">0.00</w:t>
            </w:r>
          </w:p>
        </w:tc>
        <w:tc>
          <w:tcPr/>
          <w:p>
            <w:pPr>
              <w:pStyle w:val="Compact"/>
            </w:pPr>
            <w:r>
              <w:t xml:space="preserve">28.93</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8.17</w:t>
            </w:r>
          </w:p>
        </w:tc>
        <w:tc>
          <w:tcPr/>
          <w:p>
            <w:pPr>
              <w:pStyle w:val="Compact"/>
            </w:pPr>
            <w:r>
              <w:t xml:space="preserve">-0.02</w:t>
            </w:r>
          </w:p>
        </w:tc>
        <w:tc>
          <w:tcPr/>
          <w:p>
            <w:pPr>
              <w:pStyle w:val="Compact"/>
            </w:pPr>
            <w:r>
              <w:t xml:space="preserve">16.34</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1.41</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0.40</w:t>
            </w:r>
          </w:p>
        </w:tc>
        <w:tc>
          <w:tcPr/>
          <w:p>
            <w:pPr>
              <w:pStyle w:val="Compact"/>
            </w:pPr>
            <w:r>
              <w:t xml:space="preserve">0.28</w:t>
            </w:r>
          </w:p>
        </w:tc>
        <w:tc>
          <w:tcPr/>
          <w:p>
            <w:pPr>
              <w:pStyle w:val="Compact"/>
            </w:pPr>
            <w:r>
              <w:t xml:space="preserve">0.29</w:t>
            </w:r>
          </w:p>
        </w:tc>
        <w:tc>
          <w:tcPr/>
          <w:p>
            <w:pPr>
              <w:pStyle w:val="Compact"/>
            </w:pPr>
            <w:r>
              <w:t xml:space="preserve">0.04</w:t>
            </w:r>
          </w:p>
        </w:tc>
        <w:tc>
          <w:tcPr/>
          <w:p>
            <w:pPr>
              <w:pStyle w:val="Compact"/>
            </w:pPr>
            <w:r>
              <w:t xml:space="preserve">1.06</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5.79</w:t>
            </w:r>
          </w:p>
        </w:tc>
        <w:tc>
          <w:tcPr/>
          <w:p>
            <w:pPr>
              <w:pStyle w:val="Compact"/>
            </w:pPr>
            <w:r>
              <w:t xml:space="preserve">0.60</w:t>
            </w:r>
          </w:p>
        </w:tc>
        <w:tc>
          <w:tcPr/>
          <w:p>
            <w:pPr>
              <w:pStyle w:val="Compact"/>
            </w:pPr>
            <w:r>
              <w:t xml:space="preserve">0.08</w:t>
            </w:r>
          </w:p>
        </w:tc>
        <w:tc>
          <w:tcPr/>
          <w:p>
            <w:pPr>
              <w:pStyle w:val="Compact"/>
            </w:pPr>
            <w:r>
              <w:t xml:space="preserve">10.33</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3.52</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0.36</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0.62</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5.29</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50.73 (25.74 to 86.19)</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20.79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(0.31 to 1.17)</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(0.88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15.56 (0.87 to 43.55)</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15.94 (7.93 to 28.71)</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0.84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5.30 (4.13 to 6.59)</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7.27 (5.91 to 8.87)</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1.23 (0.40 to 2.70)</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(0.11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0.70 (0.09 to 1.63)</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3.55 (2.23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0.62)</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-3 756</w:t>
            </w:r>
          </w:p>
        </w:tc>
        <w:tc>
          <w:tcPr/>
          <w:p>
            <w:pPr>
              <w:pStyle w:val="Compact"/>
            </w:pPr>
            <w:r>
              <w:t xml:space="preserve">-3 635</w:t>
            </w:r>
          </w:p>
        </w:tc>
        <w:tc>
          <w:tcPr/>
          <w:p>
            <w:pPr>
              <w:pStyle w:val="Compact"/>
            </w:pPr>
            <w:r>
              <w:t xml:space="preserve">-5 214 to -1 918</w:t>
            </w:r>
          </w:p>
        </w:tc>
        <w:tc>
          <w:tcPr/>
          <w:p>
            <w:pPr>
              <w:pStyle w:val="Compact"/>
            </w:pPr>
            <w:r>
              <w:t xml:space="preserve">-3 715</w:t>
            </w:r>
          </w:p>
        </w:tc>
        <w:tc>
          <w:tcPr/>
          <w:p>
            <w:pPr>
              <w:pStyle w:val="Compact"/>
            </w:pPr>
            <w:r>
              <w:t xml:space="preserve">-5 291 to -2 012</w:t>
            </w:r>
          </w:p>
        </w:tc>
        <w:tc>
          <w:tcPr/>
          <w:p>
            <w:pPr>
              <w:pStyle w:val="Compact"/>
            </w:pPr>
            <w:r>
              <w:t xml:space="preserve">-3 744</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1 810</w:t>
            </w:r>
          </w:p>
        </w:tc>
        <w:tc>
          <w:tcPr/>
          <w:p>
            <w:pPr>
              <w:pStyle w:val="Compact"/>
            </w:pPr>
            <w:r>
              <w:t xml:space="preserve">2 776</w:t>
            </w:r>
          </w:p>
        </w:tc>
        <w:tc>
          <w:tcPr/>
          <w:p>
            <w:pPr>
              <w:pStyle w:val="Compact"/>
            </w:pPr>
            <w:r>
              <w:t xml:space="preserve">1 931 to 3 977</w:t>
            </w:r>
          </w:p>
        </w:tc>
        <w:tc>
          <w:tcPr/>
          <w:p>
            <w:pPr>
              <w:pStyle w:val="Compact"/>
            </w:pPr>
            <w:r>
              <w:t xml:space="preserve">2 142</w:t>
            </w:r>
          </w:p>
        </w:tc>
        <w:tc>
          <w:tcPr/>
          <w:p>
            <w:pPr>
              <w:pStyle w:val="Compact"/>
            </w:pPr>
            <w:r>
              <w:t xml:space="preserve">1 505 to 3 266</w:t>
            </w:r>
          </w:p>
        </w:tc>
        <w:tc>
          <w:tcPr/>
          <w:p>
            <w:pPr>
              <w:pStyle w:val="Compact"/>
            </w:pPr>
            <w:r>
              <w:t xml:space="preserve">3 137</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2,776 [2,142]</w:t>
            </w:r>
          </w:p>
        </w:tc>
        <w:tc>
          <w:tcPr/>
          <w:p>
            <w:pPr>
              <w:pStyle w:val="Compact"/>
            </w:pPr>
            <w:r>
              <w:t xml:space="preserve">6,411 [5,856]</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6,912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3,183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2,776 [2,142]</w:t>
            </w:r>
          </w:p>
        </w:tc>
        <w:tc>
          <w:tcPr/>
          <w:p>
            <w:pPr>
              <w:pStyle w:val="Compact"/>
            </w:pPr>
            <w:r>
              <w:t xml:space="preserve">6,037 [5,509]</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2,776 [2,142]</w:t>
            </w:r>
          </w:p>
        </w:tc>
        <w:tc>
          <w:tcPr/>
          <w:p>
            <w:pPr>
              <w:pStyle w:val="Compact"/>
            </w:pPr>
            <w:r>
              <w:t xml:space="preserve">7,090 [6,505]</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2,776 [2,142]</w:t>
            </w:r>
          </w:p>
        </w:tc>
        <w:tc>
          <w:tcPr/>
          <w:p>
            <w:pPr>
              <w:pStyle w:val="Compact"/>
            </w:pPr>
            <w:r>
              <w:t xml:space="preserve">6,179 [5,648]</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2,776 [2,142]</w:t>
            </w:r>
          </w:p>
        </w:tc>
        <w:tc>
          <w:tcPr/>
          <w:p>
            <w:pPr>
              <w:pStyle w:val="Compact"/>
            </w:pPr>
            <w:r>
              <w:t xml:space="preserve">6,239 [5,693]</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2,776 [2,142]</w:t>
            </w:r>
          </w:p>
        </w:tc>
        <w:tc>
          <w:tcPr/>
          <w:p>
            <w:pPr>
              <w:pStyle w:val="Compact"/>
            </w:pPr>
            <w:r>
              <w:t xml:space="preserve">6,569 [6,006]</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2,776 [2,142]</w:t>
            </w:r>
          </w:p>
        </w:tc>
        <w:tc>
          <w:tcPr/>
          <w:p>
            <w:pPr>
              <w:pStyle w:val="Compact"/>
            </w:pPr>
            <w:r>
              <w:t xml:space="preserve">5,830 [5,311]</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−3,642 [−3,717]</w:t>
            </w:r>
          </w:p>
        </w:tc>
        <w:tc>
          <w:tcPr/>
          <w:p>
            <w:pPr>
              <w:pStyle w:val="Compact"/>
            </w:pPr>
            <w:r>
              <w:t xml:space="preserve">2,776 [2,142]</w:t>
            </w:r>
          </w:p>
        </w:tc>
        <w:tc>
          <w:tcPr/>
          <w:p>
            <w:pPr>
              <w:pStyle w:val="Compact"/>
            </w:pPr>
            <w:r>
              <w:t xml:space="preserve">6,418 [5,859]</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−3,618 [−3,709]</w:t>
            </w:r>
          </w:p>
        </w:tc>
        <w:tc>
          <w:tcPr/>
          <w:p>
            <w:pPr>
              <w:pStyle w:val="Compact"/>
            </w:pPr>
            <w:r>
              <w:t xml:space="preserve">2,776 [2,142]</w:t>
            </w:r>
          </w:p>
        </w:tc>
        <w:tc>
          <w:tcPr/>
          <w:p>
            <w:pPr>
              <w:pStyle w:val="Compact"/>
            </w:pPr>
            <w:r>
              <w:t xml:space="preserve">6,394 [5,850]</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−3,598 [−3,702]</w:t>
            </w:r>
          </w:p>
        </w:tc>
        <w:tc>
          <w:tcPr/>
          <w:p>
            <w:pPr>
              <w:pStyle w:val="Compact"/>
            </w:pPr>
            <w:r>
              <w:t xml:space="preserve">3,069 [2,243]</w:t>
            </w:r>
          </w:p>
        </w:tc>
        <w:tc>
          <w:tcPr/>
          <w:p>
            <w:pPr>
              <w:pStyle w:val="Compact"/>
            </w:pPr>
            <w:r>
              <w:t xml:space="preserve">6,668 [5,945]</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2,460 [1,899]</w:t>
            </w:r>
          </w:p>
        </w:tc>
        <w:tc>
          <w:tcPr/>
          <w:p>
            <w:pPr>
              <w:pStyle w:val="Compact"/>
            </w:pPr>
            <w:r>
              <w:t xml:space="preserve">6,095 [5,613]</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2,562 [1,977]</w:t>
            </w:r>
          </w:p>
        </w:tc>
        <w:tc>
          <w:tcPr/>
          <w:p>
            <w:pPr>
              <w:pStyle w:val="Compact"/>
            </w:pPr>
            <w:r>
              <w:t xml:space="preserve">6,197 [5,691]</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3,356 [2,699]</w:t>
            </w:r>
          </w:p>
        </w:tc>
        <w:tc>
          <w:tcPr/>
          <w:p>
            <w:pPr>
              <w:pStyle w:val="Compact"/>
            </w:pPr>
            <w:r>
              <w:t xml:space="preserve">6,991 [6,414]</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2,401 [1,830]</w:t>
            </w:r>
          </w:p>
        </w:tc>
        <w:tc>
          <w:tcPr/>
          <w:p>
            <w:pPr>
              <w:pStyle w:val="Compact"/>
            </w:pPr>
            <w:r>
              <w:t xml:space="preserve">6,036 [5,544]</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3,138 [2,457]</w:t>
            </w:r>
          </w:p>
        </w:tc>
        <w:tc>
          <w:tcPr/>
          <w:p>
            <w:pPr>
              <w:pStyle w:val="Compact"/>
            </w:pPr>
            <w:r>
              <w:t xml:space="preserve">6,773 [6,171]</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2,476 [1,946]</w:t>
            </w:r>
          </w:p>
        </w:tc>
        <w:tc>
          <w:tcPr/>
          <w:p>
            <w:pPr>
              <w:pStyle w:val="Compact"/>
            </w:pPr>
            <w:r>
              <w:t xml:space="preserve">6,111 [5,661]</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2,689 [2,111]</w:t>
            </w:r>
          </w:p>
        </w:tc>
        <w:tc>
          <w:tcPr/>
          <w:p>
            <w:pPr>
              <w:pStyle w:val="Compact"/>
            </w:pPr>
            <w:r>
              <w:t xml:space="preserve">6,325 [5,825]</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4,362 [3,633]</w:t>
            </w:r>
          </w:p>
        </w:tc>
        <w:tc>
          <w:tcPr/>
          <w:p>
            <w:pPr>
              <w:pStyle w:val="Compact"/>
            </w:pPr>
            <w:r>
              <w:t xml:space="preserve">7,997 [7,347]</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−1,204</w:t>
            </w:r>
          </w:p>
        </w:tc>
        <w:tc>
          <w:tcPr/>
          <w:p>
            <w:pPr>
              <w:pStyle w:val="Compact"/>
            </w:pPr>
            <w:r>
              <w:t xml:space="preserve">−4,288 [−4,368]</w:t>
            </w:r>
          </w:p>
        </w:tc>
        <w:tc>
          <w:tcPr/>
          <w:p>
            <w:pPr>
              <w:pStyle w:val="Compact"/>
            </w:pPr>
            <w:r>
              <w:t xml:space="preserve">2,776 [2,142]</w:t>
            </w:r>
          </w:p>
        </w:tc>
        <w:tc>
          <w:tcPr/>
          <w:p>
            <w:pPr>
              <w:pStyle w:val="Compact"/>
            </w:pPr>
            <w:r>
              <w:t xml:space="preserve">7,064 [6,509]</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−812</w:t>
            </w:r>
          </w:p>
        </w:tc>
        <w:tc>
          <w:tcPr/>
          <w:p>
            <w:pPr>
              <w:pStyle w:val="Compact"/>
            </w:pPr>
            <w:r>
              <w:t xml:space="preserve">−2,852 [−2,932]</w:t>
            </w:r>
          </w:p>
        </w:tc>
        <w:tc>
          <w:tcPr/>
          <w:p>
            <w:pPr>
              <w:pStyle w:val="Compact"/>
            </w:pPr>
            <w:r>
              <w:t xml:space="preserve">2,776 [2,142]</w:t>
            </w:r>
          </w:p>
        </w:tc>
        <w:tc>
          <w:tcPr/>
          <w:p>
            <w:pPr>
              <w:pStyle w:val="Compact"/>
            </w:pPr>
            <w:r>
              <w:t xml:space="preserve">5,628 [5,074]</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−2,711 [−2,815]</w:t>
            </w:r>
          </w:p>
        </w:tc>
        <w:tc>
          <w:tcPr/>
          <w:p>
            <w:pPr>
              <w:pStyle w:val="Compact"/>
            </w:pPr>
            <w:r>
              <w:t xml:space="preserve">2,776 [2,142]</w:t>
            </w:r>
          </w:p>
        </w:tc>
        <w:tc>
          <w:tcPr/>
          <w:p>
            <w:pPr>
              <w:pStyle w:val="Compact"/>
            </w:pPr>
            <w:r>
              <w:t xml:space="preserve">5,487 [4,957]</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−2,329 [−2,434]</w:t>
            </w:r>
          </w:p>
        </w:tc>
        <w:tc>
          <w:tcPr/>
          <w:p>
            <w:pPr>
              <w:pStyle w:val="Compact"/>
            </w:pPr>
            <w:r>
              <w:t xml:space="preserve">2,776 [2,142]</w:t>
            </w:r>
          </w:p>
        </w:tc>
        <w:tc>
          <w:tcPr/>
          <w:p>
            <w:pPr>
              <w:pStyle w:val="Compact"/>
            </w:pPr>
            <w:r>
              <w:t xml:space="preserve">5,105 [4,576]</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2,776 [2,142]</w:t>
            </w:r>
          </w:p>
        </w:tc>
        <w:tc>
          <w:tcPr/>
          <w:p>
            <w:pPr>
              <w:pStyle w:val="Compact"/>
            </w:pPr>
            <w:r>
              <w:t xml:space="preserve">3,586 [3,031]</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−5214 to −1918 [−5291 to −2012]</w:t>
            </w:r>
          </w:p>
        </w:tc>
        <w:tc>
          <w:tcPr/>
          <w:p>
            <w:pPr>
              <w:pStyle w:val="Compact"/>
            </w:pPr>
            <w:r>
              <w:t xml:space="preserve">1931 to 3977 [1505 to 3266]</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5.73 (2.78 to 8.29)</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55.63 (27.01 to 90.45)</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14.18 (3.36 to 32.02)</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56.85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(-0.06 to 6.25)</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14.13 (7.55 to 22.68)</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21.34 (8.94 to 38.90)</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30.78 (12.93 to 56.13)</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11.14 (5.94 to 18.72)</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10.65 (7.36 to 15.17)</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(2.10 to 3.04)</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0.93)</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1.05 (0.50 to 1.68)</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3.23 (1.27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(0.13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1.70)</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0.88)</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(0.67 to 25.00)</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11.81 (6.17 to 20.33)</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0.45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(0.400 to 0.956)</w:t>
            </w:r>
          </w:p>
        </w:tc>
        <w:tc>
          <w:tcPr/>
          <w:p>
            <w:pPr>
              <w:pStyle w:val="Compact"/>
            </w:pPr>
            <w:r>
              <w:t xml:space="preserve">0.609</w:t>
            </w:r>
          </w:p>
        </w:tc>
        <w:tc>
          <w:tcPr/>
          <w:p>
            <w:pPr>
              <w:pStyle w:val="Compact"/>
            </w:pPr>
            <w:r>
              <w:t xml:space="preserve">0.716</w:t>
            </w:r>
          </w:p>
        </w:tc>
        <w:tc>
          <w:tcPr/>
          <w:p>
            <w:pPr>
              <w:pStyle w:val="Compact"/>
            </w:pPr>
            <w:r>
              <w:t xml:space="preserve">1.082 (0.335 to 1.829)</w:t>
            </w:r>
          </w:p>
        </w:tc>
      </w:tr>
      <w:tr>
        <w:tc>
          <w:tcPr/>
          <w:p>
            <w:pPr>
              <w:pStyle w:val="Compact"/>
            </w:pPr>
            <w:r>
              <w:t xml:space="preserve">United States</w:t>
            </w:r>
          </w:p>
        </w:tc>
        <w:tc>
          <w:tcPr/>
          <w:p>
            <w:pPr>
              <w:pStyle w:val="Compact"/>
            </w:pPr>
            <w:r>
              <w:t xml:space="preserve">60.09</w:t>
            </w:r>
          </w:p>
        </w:tc>
        <w:tc>
          <w:tcPr/>
          <w:p>
            <w:pPr>
              <w:pStyle w:val="Compact"/>
            </w:pPr>
            <w:r>
              <w:t xml:space="preserve">0.385 (0.231 to 0.552)</w:t>
            </w:r>
          </w:p>
        </w:tc>
        <w:tc>
          <w:tcPr/>
          <w:p>
            <w:pPr>
              <w:pStyle w:val="Compact"/>
            </w:pPr>
            <w:r>
              <w:t xml:space="preserve">0.352</w:t>
            </w:r>
          </w:p>
        </w:tc>
        <w:tc>
          <w:tcPr/>
          <w:p>
            <w:pPr>
              <w:pStyle w:val="Compact"/>
            </w:pPr>
            <w:r>
              <w:t xml:space="preserve">0.413</w:t>
            </w:r>
          </w:p>
        </w:tc>
        <w:tc>
          <w:tcPr/>
          <w:p>
            <w:pPr>
              <w:pStyle w:val="Compact"/>
            </w:pPr>
            <w:r>
              <w:t xml:space="preserve">0.625 (0.193 to 1.057)</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0.095)</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1.112 (0.667 to 1.594)</w:t>
            </w:r>
          </w:p>
        </w:tc>
        <w:tc>
          <w:tcPr/>
          <w:p>
            <w:pPr>
              <w:pStyle w:val="Compact"/>
            </w:pPr>
            <w:r>
              <w:t xml:space="preserve">1.016</w:t>
            </w:r>
          </w:p>
        </w:tc>
        <w:tc>
          <w:tcPr/>
          <w:p>
            <w:pPr>
              <w:pStyle w:val="Compact"/>
            </w:pPr>
            <w:r>
              <w:t xml:space="preserve">1.193</w:t>
            </w:r>
          </w:p>
        </w:tc>
        <w:tc>
          <w:tcPr/>
          <w:p>
            <w:pPr>
              <w:pStyle w:val="Compact"/>
            </w:pPr>
            <w:r>
              <w:t xml:space="preserve">1.805 (0.558 to 3.049)</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2.90)</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1.95)</w:t>
            </w:r>
          </w:p>
        </w:tc>
        <w:tc>
          <w:tcPr/>
          <w:p>
            <w:pPr>
              <w:pStyle w:val="Compact"/>
            </w:pPr>
            <w:r>
              <w:t xml:space="preserve">1.25</w:t>
            </w:r>
          </w:p>
        </w:tc>
        <w:tc>
          <w:tcPr/>
          <w:p>
            <w:pPr>
              <w:pStyle w:val="Compact"/>
            </w:pPr>
            <w:r>
              <w:t xml:space="preserve">2.21 (0.68 to 3.74)</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96"/>
    <w:bookmarkStart w:id="97"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97"/>
    <w:bookmarkStart w:id="98"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Y. Y. Y. Yau et al., Efficient oxidation attenuates porewater-derived methane fluxes in mangrove waters.</w:t>
      </w:r>
      <w:r>
        <w:t xml:space="preserve"> </w:t>
      </w:r>
      <w:r>
        <w:rPr>
          <w:i/>
          <w:iCs/>
        </w:rPr>
        <w:t xml:space="preserve">Limnol. Oceanogr.</w:t>
      </w:r>
      <w:r>
        <w:t xml:space="preserve"> </w:t>
      </w:r>
      <w:r>
        <w:rPr>
          <w:b/>
          <w:bCs/>
        </w:rPr>
        <w:t xml:space="preserve">69</w:t>
      </w:r>
      <w:r>
        <w:t xml:space="preserve">, 1997–2014 (2024).</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1" Target="media/rId71.png" /><Relationship Type="http://schemas.openxmlformats.org/officeDocument/2006/relationships/image" Id="rId83" Target="media/rId83.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0" Target="media/rId50.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77" Target="media/rId77.png" /><Relationship Type="http://schemas.openxmlformats.org/officeDocument/2006/relationships/image" Id="rId74" Target="media/rId74.png" /><Relationship Type="http://schemas.openxmlformats.org/officeDocument/2006/relationships/image" Id="rId92" Target="media/rId92.png" /><Relationship Type="http://schemas.openxmlformats.org/officeDocument/2006/relationships/image" Id="rId68" Target="media/rId68.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2026-10-03T22:27:47Z</dcterms:created>
  <dcterms:modified xsi:type="dcterms:W3CDTF">2026-10-03T22:27:47Z</dcterms:modified>
</cp:coreProperties>
</file>

<file path=docProps/custom.xml><?xml version="1.0" encoding="utf-8"?>
<Properties xmlns="http://schemas.openxmlformats.org/officeDocument/2006/custom-properties" xmlns:vt="http://schemas.openxmlformats.org/officeDocument/2006/docPropsVTypes"/>
</file>