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C to E). Bottom-up intact CO2 uptake (−1,025 g C m−2 yr−1) matched the eddy-covariance tower over the same forest (−1,288 over the campaign months; −1,170 ± 127 in the long-term record (52)) (Fig. 3E).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in the wet (October 2022) and dry (March 2023) campaigns. (</w:t>
      </w:r>
      <w:r>
        <w:rPr>
          <w:b/>
          <w:bCs/>
        </w:rPr>
        <w:t xml:space="preserve">C</w:t>
      </w:r>
      <w:r>
        <w:t xml:space="preserve">) Airborne CH4 and midday CO2 for intact and ghost forest by deployment</w:t>
      </w:r>
      <w:r>
        <w:t xml:space="preserve"> </w:t>
      </w:r>
      <w:r>
        <w:rPr>
          <w:i/>
          <w:iCs/>
        </w:rPr>
        <w:t xml:space="preserve">[July 2024 pending]</w:t>
      </w:r>
      <w:r>
        <w:t xml:space="preserve">. Stand (</w:t>
      </w:r>
      <w:r>
        <w:rPr>
          <w:b/>
          <w:bCs/>
        </w:rPr>
        <w:t xml:space="preserve">D</w:t>
      </w:r>
      <w:r>
        <w:t xml:space="preserve">) CH4 and (</w:t>
      </w:r>
      <w:r>
        <w:rPr>
          <w:b/>
          <w:bCs/>
        </w:rPr>
        <w:t xml:space="preserve">E</w:t>
      </w:r>
      <w:r>
        <w:t xml:space="preserve">) CO2 by campaign and annually (mean of the wet and dry campaigns), stacked by component, with bottom-up totals (diamonds; Monte Carlo 95% intervals), airborne (triangles; ±1.96 SE) and tower (squares) estimates; numbers above the annual columns give the bottom-up annual budget (g CH4 m−2 yr−1 in D; net CO2 exchange, g C m−2 yr−1, in E). In D the axis is cropped at 70; the arrow marks the upper bound of the ghost wet-season airborne interval.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5B). Ghost forest was a net source (+2,775 g CO2-eq m−2 yr−1 at GWP20; +2,141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~5,500 (Fig. 5A;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5D). At the measured per-area switch, this loss adds ~1.1 Tg CO2-eq yr−1 at GWP20 (0.7–1.6; 1.0 at GWP100), including 1.8 Gg CH4 yr−1 of induced methane (Fig. 5C).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800100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 (</w:t>
      </w:r>
      <w:r>
        <w:rPr>
          <w:b/>
          <w:bCs/>
        </w:rPr>
        <w:t xml:space="preserve">B</w:t>
      </w:r>
      <w:r>
        <w:t xml:space="preserve">) Net forcing of intact and ghost forest at GWP20, GWP100 and GWP*, stacked by CO2 and CH4; diamonds, net with Monte Carlo 95% intervals; circles, intact net ecosystem carbon balance including lateral export. (</w:t>
      </w:r>
      <w:r>
        <w:rPr>
          <w:b/>
          <w:bCs/>
        </w:rPr>
        <w:t xml:space="preserve">C</w:t>
      </w:r>
      <w:r>
        <w:t xml:space="preserve">) The intact-to-ghost switch per m2, split into CO2 and CH4, with the CH4 share and the regional total. (</w:t>
      </w:r>
      <w:r>
        <w:rPr>
          <w:b/>
          <w:bCs/>
        </w:rPr>
        <w:t xml:space="preserve">D</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S17;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2026-10-03T21:34:39Z</dcterms:created>
  <dcterms:modified xsi:type="dcterms:W3CDTF">2026-10-03T21:34:39Z</dcterms:modified>
</cp:coreProperties>
</file>

<file path=docProps/custom.xml><?xml version="1.0" encoding="utf-8"?>
<Properties xmlns="http://schemas.openxmlformats.org/officeDocument/2006/custom-properties" xmlns:vt="http://schemas.openxmlformats.org/officeDocument/2006/docPropsVTypes"/>
</file>