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We combined chambers on six surfaces (water, soil, prop roots, stems, downed wood and leaves) at intact, regenerating and ghost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1C).</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S4).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2C). Most woody surface lies far above the water line, where flux is lowest (Fig. 2F). Stems therefore contributed &lt;1% of stand methane in both intact and ghost forest, whereas the dense prop-root zone of intact red-mangrove forest contributed ~28% (Fig. 3A).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 3, A and D).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S7).</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C, E and F). Bottom-up intact CO2 uptake (−1,025 g C m−2 yr−1) matched the long-term tower estimate for the same forest (−1,170 ± 127) (52) (Fig. 3D).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and campaign. (</w:t>
      </w:r>
      <w:r>
        <w:rPr>
          <w:b/>
          <w:bCs/>
        </w:rPr>
        <w:t xml:space="preserve">C</w:t>
      </w:r>
      <w:r>
        <w:t xml:space="preserve">) Airborne CH4 and midday CO2 for intact and ghost forest by deployment</w:t>
      </w:r>
      <w:r>
        <w:t xml:space="preserve"> </w:t>
      </w:r>
      <w:r>
        <w:rPr>
          <w:i/>
          <w:iCs/>
        </w:rPr>
        <w:t xml:space="preserve">[July 2024 pending]</w:t>
      </w:r>
      <w:r>
        <w:t xml:space="preserve">. (</w:t>
      </w:r>
      <w:r>
        <w:rPr>
          <w:b/>
          <w:bCs/>
        </w:rPr>
        <w:t xml:space="preserve">D</w:t>
      </w:r>
      <w:r>
        <w:t xml:space="preserve">) Annual stand CH4 and net CO2 exchange (Monte Carlo 95% intervals) with the tower estimate (52). Stand (</w:t>
      </w:r>
      <w:r>
        <w:rPr>
          <w:b/>
          <w:bCs/>
        </w:rPr>
        <w:t xml:space="preserve">E</w:t>
      </w:r>
      <w:r>
        <w:t xml:space="preserve">) CH4 and (</w:t>
      </w:r>
      <w:r>
        <w:rPr>
          <w:b/>
          <w:bCs/>
        </w:rPr>
        <w:t xml:space="preserve">F</w:t>
      </w:r>
      <w:r>
        <w:t xml:space="preserve">) CO2 by campaign, stacked by component, with bottom-up totals (diamonds), airborne (triangles) and tower (squares) estimates; intervals 95%.</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(−3,755 g CO2 m−2 yr−1) dwarfed its methane emission (+121 g CO2-eq at GWP20), which offset 3% of it (Fig. 5B). Ghost forest was a net source (+2,775 g CO2-eq m−2 yr−1 at GWP20; +2,141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−5,233 to −1,939; ghost +1,922 to +3,978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~5,500 (Fig. 5A; fig. S14;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5D). At the measured per-area switch, this loss adds ~1.1 Tg CO2-eq yr−1 at GWP20 (0.7–1.6; 1.0 at GWP100), including 1.8 Gg CH4 yr−1 of induced methane (Fig. 5C).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800100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800100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 (</w:t>
      </w:r>
      <w:r>
        <w:rPr>
          <w:b/>
          <w:bCs/>
        </w:rPr>
        <w:t xml:space="preserve">B</w:t>
      </w:r>
      <w:r>
        <w:t xml:space="preserve">) Net forcing of intact and ghost forest at GWP20, GWP100 and GWP*, stacked by CO2 and CH4; diamonds, net with Monte Carlo 95% intervals; circles, intact net ecosystem carbon balance including lateral export. (</w:t>
      </w:r>
      <w:r>
        <w:rPr>
          <w:b/>
          <w:bCs/>
        </w:rPr>
        <w:t xml:space="preserve">C</w:t>
      </w:r>
      <w:r>
        <w:t xml:space="preserve">) The intact-to-ghost switch per m2, split into CO2 and CH4, with the CH4 share and the regional total. (</w:t>
      </w:r>
      <w:r>
        <w:rPr>
          <w:b/>
          <w:bCs/>
        </w:rPr>
        <w:t xml:space="preserve">D</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279–316 (2012).</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IPCC. 2013 Supplement to the 2006 IPCC Guidelines for National Greenhouse Gas Inventories: Wetlands (IPCC, Switzerland, 2014).</w:t>
      </w:r>
    </w:p>
    <w:p>
      <w:pPr>
        <w:pStyle w:val="Compact"/>
        <w:numPr>
          <w:ilvl w:val="0"/>
          <w:numId w:val="1001"/>
        </w:numPr>
      </w:pPr>
      <w:r>
        <w:t xml:space="preserve">Verra. VM0033 Methodology for Tidal Wetland and Seagrass Restoration, v2.1 (Verified Carbon Standard,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IPCC,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S17;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2026-10-03T17:48:13Z</dcterms:created>
  <dcterms:modified xsi:type="dcterms:W3CDTF">2026-10-03T17:48:13Z</dcterms:modified>
</cp:coreProperties>
</file>

<file path=docProps/custom.xml><?xml version="1.0" encoding="utf-8"?>
<Properties xmlns="http://schemas.openxmlformats.org/officeDocument/2006/custom-properties" xmlns:vt="http://schemas.openxmlformats.org/officeDocument/2006/docPropsVTypes"/>
</file>