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CO2 estimated marginal means by species and status are shown in fig. S6F.</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 season). Lines, least-squares fits ± 95% CI; r, Pearson correlation (CH4 on the inverse-hyperbolic-sine scale); ρ, Spearman correlation. Marco Island collars had no pneumatophores.</w:t>
      </w:r>
    </w:p>
    <w:p>
      <w:pPr>
        <w:pStyle w:val="BodyText"/>
      </w:pPr>
      <w:r>
        <w:drawing>
          <wp:inline>
            <wp:extent cx="5334000" cy="5482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Stem CH4 (a–c) and CO2 (d–f) by height class and forest class: (a, d) density ridges; (b, e) individual measurements with box plots and means for groups with n &gt; 3; (c) fitted woody-surface CH4 height profiles by class ± 95% CI (live stem, flooded, wet season; M20); (f) CO2 estimated marginal means (95% CI) by species and live/dead status from a linear mixed-effects model (M20).</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2026-10-03T19:28:35Z</dcterms:created>
  <dcterms:modified xsi:type="dcterms:W3CDTF">2026-10-03T19:28:35Z</dcterms:modified>
</cp:coreProperties>
</file>

<file path=docProps/custom.xml><?xml version="1.0" encoding="utf-8"?>
<Properties xmlns="http://schemas.openxmlformats.org/officeDocument/2006/custom-properties" xmlns:vt="http://schemas.openxmlformats.org/officeDocument/2006/docPropsVTypes"/>
</file>