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8.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fluxes. Intact forest emitted more methane than emission factors assume, mostly from soils and prop roots. Mortality raised emission eightfold, moved it to ponded water, and stripped the sediment’s oxidizing layer, possibly blocking regrowth. Ghost forest was a net source, a switch of ~6,400 g CO2-eq m−2 yr−1 over 20 years, a third of ghost-forest warming from methane. Across Caribbean mangrove lost in 2017, the switch adds ~1.1 Tg CO2-eq yr−1, a feedback current accounting omits.</w:t>
      </w:r>
    </w:p>
    <w:p>
      <w:r>
        <w:pict>
          <v:rect style="width:0;height:1.5pt" o:hralign="center" o:hrstd="t" o:hr="t"/>
        </w:pict>
      </w:r>
    </w:p>
    <w:bookmarkEnd w:id="9"/>
    <w:bookmarkStart w:id="32"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Whether a stand regrows sets how long any change in its emissions lasts.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 figs. S1 to S5).</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(74),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figs. S6 and S7).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(figs. S8 and S9).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through aerenchyma and lenticels, rather than production within the wood (23). Stem CO2 showed no such gradient (Fig. 2E). The water-line peak was 13–28 times higher in disturbed than intact forest, and the classes converged by ~1 m. Once height and class were accounted for, species, season and whether a stem was alive or dead had little effect (fig. S10), and dead stems kept venting methane (47): losing active, root-driven transport left a passive pathway and a decomposing source.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figs. S11 and S12). At the water line, ghost-forest stems emitted 12.5 nmol m−2 s−1 against 0.9 in intact forest, close to the contrast between dead and live stem bases after climate-driven dieback in northern Australia (12.4 vs 1.1) (19), the only comparable measurement we know of. Yet stems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Per-area rates and stand contributions must be kept distinct: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box, the chamber-sampled range (0–1.9 m)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17" w:name="dead-forests-emit-eight-times-more"/>
    <w:p>
      <w:pPr>
        <w:pStyle w:val="Heading3"/>
      </w:pPr>
      <w:r>
        <w:t xml:space="preserve">Dead forests emit eight times more</w:t>
      </w:r>
    </w:p>
    <w:p>
      <w:pPr>
        <w:pStyle w:val="FirstParagraph"/>
      </w:pPr>
      <w:r>
        <w:t xml:space="preserve">Scaling each surface’s flux by its area gives stand budgets (Fig. 3; figs. S13 to S15).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S14).</w:t>
      </w:r>
    </w:p>
    <w:bookmarkEnd w:id="17"/>
    <w:bookmarkStart w:id="21" w:name="independent-checks-at-ecosystem-scale"/>
    <w:p>
      <w:pPr>
        <w:pStyle w:val="Heading3"/>
      </w:pPr>
      <w:r>
        <w:t xml:space="preserve">Independent checks at ecosystem scale</w:t>
      </w:r>
    </w:p>
    <w:p>
      <w:pPr>
        <w:pStyle w:val="FirstParagraph"/>
      </w:pPr>
      <w:r>
        <w:t xml:space="preserve">Our ground sites are intensive process sites: few in number, chosen to resolve where and why emissions change, not to represent the region by themselves. Sites within a class agreed with each other (intact SRS5 and SRS6; ghost CP40 and FLM30; table S1), and the budgets agreed with two independent measurements at larger scale. Bottom-up intact CO2 uptake (−1,025 g C m−2 yr−1) matched the eddy-covariance tower over the same forest (−1,288 over the campaign months; −1,170 ± 127 in the long-term record (50)) (Fig. 3C). Airborne eddy covariance, disaggregated to intact and ghost mangrove along flight legs across south Florida (46, 51, 52) (fig. S16), shares no measurements with the chambers, yet agreed with the chamber budgets within uncertainty in both seasons. It ranked ghost above intact methane in the wet season (airborne 51 ± 27 vs 29 ± 16 nmol m−2 s−1; chambers 36 vs 4) and matched intact-forest net CO2 exchange in sign and magnitude (Fig. 3, A to C). Over ghost forest the aircraft saw a small midday CO2 sink where the chamber budget, a sum of releases, shows a source; primary production the chambers capture only in part, with some signs of photosynthesis in the ponds and at the vegetated margins and possibly in algal mats, may account for the difference (text S1). The agreement indicates that the intact–ghost contrast measured at our sites holds across south Florida.</w:t>
      </w:r>
      <w:r>
        <w:t xml:space="preserve"> </w:t>
      </w:r>
      <w:r>
        <w:rPr>
          <w:i/>
          <w:iCs/>
        </w:rPr>
        <w:t xml:space="preserve">[PLACEHOLDER — airborne coverage: flight-leg footprint area over intact and ghost mangrove (km2) and the number of legs per class (E. Delaria).]</w:t>
      </w:r>
    </w:p>
    <w:p>
      <w:pPr>
        <w:pStyle w:val="BodyText"/>
      </w:pPr>
      <w:r>
        <w:drawing>
          <wp:inline>
            <wp:extent cx="5334000" cy="6223000"/>
            <wp:effectExtent b="0" l="0" r="0" t="0"/>
            <wp:docPr descr="" title="" id="19" name="Picture"/>
            <a:graphic>
              <a:graphicData uri="http://schemas.openxmlformats.org/drawingml/2006/picture">
                <pic:pic>
                  <pic:nvPicPr>
                    <pic:cNvPr descr="output/figures/main/Fig3_stands.png" id="20" name="Picture"/>
                    <pic:cNvPicPr>
                      <a:picLocks noChangeArrowheads="1" noChangeAspect="1"/>
                    </pic:cNvPicPr>
                  </pic:nvPicPr>
                  <pic:blipFill>
                    <a:blip r:embed="rId18"/>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(April 2022, October 2022, February 2023 and April 2023; bands, ±1.96 SE; grey, our campaign months).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1"/>
    <w:bookmarkStart w:id="25" w:name="Xe312f5f90b539c452a188f406a4a52a2f554796"/>
    <w:p>
      <w:pPr>
        <w:pStyle w:val="Heading3"/>
      </w:pPr>
      <w:r>
        <w:t xml:space="preserve">Mortality removes the sediment’s oxidizing layer</w:t>
      </w:r>
    </w:p>
    <w:p>
      <w:pPr>
        <w:pStyle w:val="FirstParagraph"/>
      </w:pPr>
      <w:r>
        <w:t xml:space="preserve">Porewater chemistry separated the forest classes (Fig. 4; figs. S17 to S19). The first principal component (39% of variance) contrasted salty, sulfate-rich, reduced, high-methane and high-ammonium ghost-forest porewater with oxidized intact-forest porewater; the second (24%) picked out the high dissolved organic carbon and alkalinity of the regenerating site (Fig. 4A). The profiles show what mortality removed. In intact forest the upper sediment stayed oxidized, most clearly at SRS6: in the top 0–45 cm dissolved O2 was present, redox potential was highest, sulfide low and dissolved iron present, and methane declined and became isotopically heavier toward the surface, consistent with oxidation (Fig. 4D; text S2). Two processes keep such a layer oxidized, and our data cannot separate them: oxygen leaking from living prop roots and pneumatophores (53, 54), and tidal flushing, which at the intact sites raised and drained the water by 13–31 cm each day (Fig. 4C). Ghost forest had lost both. Its water ponded, with little tidal exchange (Fig. 4C), and its porewater was anoxic to the surface: sulfide reached 0.8 mM at the sediment surface with little iron to bind it, and methane peaked at the surface rather than at depth, with no isotopic front, so methane produced among dead roots and litter met no oxidizing barrier before reaching the ponded water. Ammonium (200–320 μM) exceeded 24 years of monitoring at the intact sites by more than an order of magnitude, a level matched in that record only after Irma (table S2), consistent with decomposing roots and the loss of root uptake.</w:t>
      </w:r>
    </w:p>
    <w:p>
      <w:pPr>
        <w:pStyle w:val="BodyText"/>
      </w:pPr>
      <w:r>
        <w:t xml:space="preserve">Salinity no longer suppressed methane in ghost forest (Fig. 4B). Across three sampling rounds, allowing for the difference between porewater and surface water, methane fell with salinity in intact forest (r = −0.33, p = 0.07) and regenerating forest (r = −0.56, p = 0.001), as it did in the river and bay channels (r = −0.57) and as expected where sulfate reduction suppresses methanogenesis, but not in ghost forest (r = 0.16, p = 0.40), where porewater held the most methane at the highest salinities. Ghost-forest porewater methane swung from 5 to 75 μM between seasons at nearly constant salinity (59–64 PSU), which salinity cannot explain. Sulfate reduction remained active everywhere: ghost-forest porewater still held ~30 mM sulfate, near seawater concentration but, below the surface, 23–32% less than its salinity implies, and alkalinity of 11–33 mM, five to fifteen times seawater, accompanied sulfate loss at every site (Fig. 4D; text S2). Methane therefore accumulated alongside sulfate reduction, not after it, as expected if methanogens use substrates sulfate reducers do not compete for, such as methylamines from the breakdown of osmolytes in dead roots (25, 26, 55, 56).</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E to G.]</w:t>
      </w:r>
      <w:r>
        <w:t xml:space="preserve"> </w:t>
      </w:r>
      <w:r>
        <w:t xml:space="preserve">Mortality thus inverts the redox expectation that governs methane in intact saline mangrove.</w:t>
      </w:r>
    </w:p>
    <w:p>
      <w:pPr>
        <w:pStyle w:val="BodyText"/>
      </w:pPr>
      <w:r>
        <w:drawing>
          <wp:inline>
            <wp:extent cx="5334000" cy="5852583"/>
            <wp:effectExtent b="0" l="0" r="0" t="0"/>
            <wp:docPr descr="" title="" id="23" name="Picture"/>
            <a:graphic>
              <a:graphicData uri="http://schemas.openxmlformats.org/drawingml/2006/picture">
                <pic:pic>
                  <pic:nvPicPr>
                    <pic:cNvPr descr="output/figures/main/Fig4_geochemistry.png" id="24" name="Picture"/>
                    <pic:cNvPicPr>
                      <a:picLocks noChangeArrowheads="1" noChangeAspect="1"/>
                    </pic:cNvPicPr>
                  </pic:nvPicPr>
                  <pic:blipFill>
                    <a:blip r:embed="rId22"/>
                    <a:stretch>
                      <a:fillRect/>
                    </a:stretch>
                  </pic:blipFill>
                  <pic:spPr bwMode="auto">
                    <a:xfrm>
                      <a:off x="0" y="0"/>
                      <a:ext cx="5334000" cy="5852583"/>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0–90 cm; 14 variables); ellipses, 68% per forest class; arrows, loadings, CH4 in red. (</w:t>
      </w:r>
      <w:r>
        <w:rPr>
          <w:b/>
          <w:bCs/>
        </w:rPr>
        <w:t xml:space="preserve">B</w:t>
      </w:r>
      <w:r>
        <w:t xml:space="preserve">) Dissolved CH4 against salinity across three sampling rounds (site × round × depth means of porewater and plot surface water). Lines, the salinity effect on porewater CH4 in each forest class, with 95% confidence bands (linear model with sample type; r, partial correlation); light blue, river and bay channels (Vaughn and Raymond 2024). (</w:t>
      </w:r>
      <w:r>
        <w:rPr>
          <w:b/>
          <w:bCs/>
        </w:rPr>
        <w:t xml:space="preserve">C</w:t>
      </w:r>
      <w:r>
        <w:t xml:space="preserve">) Water level relative to the weekly mean, 21–27 October 2022: intact sites (FCE LTER) and the ghost site FLM30</w:t>
      </w:r>
      <w:r>
        <w:t xml:space="preserve"> </w:t>
      </w:r>
      <w:r>
        <w:rPr>
          <w:i/>
          <w:iCs/>
        </w:rPr>
        <w:t xml:space="preserve">[PLACEHOLDER — FLM30 logger record]</w:t>
      </w:r>
      <w:r>
        <w:t xml:space="preserve">. (</w:t>
      </w:r>
      <w:r>
        <w:rPr>
          <w:b/>
          <w:bCs/>
        </w:rPr>
        <w:t xml:space="preserve">D</w:t>
      </w:r>
      <w:r>
        <w:t xml:space="preserve">) October 2025 depth profiles, grouped by the principal component each variable loads on; shaded, 0–15 cm. (</w:t>
      </w:r>
      <w:r>
        <w:rPr>
          <w:b/>
          <w:bCs/>
        </w:rPr>
        <w:t xml:space="preserve">E</w:t>
      </w:r>
      <w:r>
        <w:t xml:space="preserve"> </w:t>
      </w:r>
      <w:r>
        <w:t xml:space="preserve">to</w:t>
      </w:r>
      <w:r>
        <w:t xml:space="preserve"> </w:t>
      </w:r>
      <w:r>
        <w:rPr>
          <w:b/>
          <w:bCs/>
        </w:rPr>
        <w:t xml:space="preserve">G</w:t>
      </w:r>
      <w:r>
        <w:t xml:space="preserve">)</w:t>
      </w:r>
      <w:r>
        <w:t xml:space="preserve"> </w:t>
      </w:r>
      <w:r>
        <w:rPr>
          <w:i/>
          <w:iCs/>
        </w:rPr>
        <w:t xml:space="preserve">[PLACEHOLDER — sediment metagenomes: marker genes per gram of sediment; methanogen pathway composition; mcrA versus porewater CH4.]</w:t>
      </w:r>
    </w:p>
    <w:bookmarkEnd w:id="25"/>
    <w:bookmarkStart w:id="26" w:name="why-ghost-forests-persist"/>
    <w:p>
      <w:pPr>
        <w:pStyle w:val="Heading3"/>
      </w:pPr>
      <w:r>
        <w:t xml:space="preserve">Why ghost forests persist</w:t>
      </w:r>
    </w:p>
    <w:p>
      <w:pPr>
        <w:pStyle w:val="FirstParagraph"/>
      </w:pPr>
      <w:r>
        <w:t xml:space="preserve">The same chemistry may explain why ghost forest persists. A seedling rooting at CP40 would meet two stresses. The first is salinity: porewater of 50–55 PSU, well above the range in which red-mangrove establishment declines (57). The second is sulfide: ~0.8 mM in the top centimetres, about half of it as H2S at pH 6.7–6.9. Sulfide near 1–2 mM reduces photosynthesis and growth of red-mangrove seedlings (58) by inhibiting root respiration and nutrient uptake (59, 60). Without living roots or tidal flushing to oxidize the surface sediment, and in carbonate sediments that hold too little iron to bind it (61, 62), sulfide reaches the root zone (53, 63); a hydrologically isolated dead stand in Mexico reached similar conditions (64). Sulfide accumulation was inferred for Irma’s ponded dieback (36); these profiles measure it six years on. The regenerating stand is the contrast. Impounded and rain-fed, it had fresh surface water (3 PSU), less saline porewater (33–35 PSU) and little sulfide at the sediment surface (0.08 mM), and its canopy recovered within five years (Fig. 1C). Sulfate reduction there was as intense as anywhere, and at every site most of the sulfide it produced was removed from solution (text S2), so what separates the stands is where sulfide remains, not how much is made. With one regenerating site this is a hypothesis, and in recovering Everglades stands that were not ponded, seedling growth tracked phosphorus and light rather than sulfide (65). But it suggests a feedback: in ponded, hypersaline basins, mortality creates sediment conditions that prevent regrowth, and so prolongs the emission it caused.</w:t>
      </w:r>
    </w:p>
    <w:p>
      <w:pPr>
        <w:pStyle w:val="BodyText"/>
      </w:pPr>
      <w:r>
        <w:t xml:space="preserve">Hydrology appears to set how long the methane response lasts. The regenerating stand, recolonized behind an impoundment, emitted as much methane as ghost forest: assigning it woody and root areas between those of intact and ghost forest, at its measured inundation, gives ~29 g CH4 m−2 yr−1 (24–33 across structural assumptions), more than ghost forest, so early regeneration may be the peak of the response rather than a return toward the intact baseline (text S3). By contrast, a decades-old die-off behind a road that restricted tidal exchange had little standing water in the dry season and soil emission an order of magnitude below the Everglades ghost sites (text S4), and dead stands in Brazil emitted little after about three years (66). Methane from dead mangrove therefore persists where water ponds and declines where it drains.</w:t>
      </w:r>
    </w:p>
    <w:bookmarkEnd w:id="26"/>
    <w:bookmarkStart w:id="30" w:name="a-blue-carbon-sink-becomes-a-source"/>
    <w:p>
      <w:pPr>
        <w:pStyle w:val="Heading3"/>
      </w:pPr>
      <w:r>
        <w:t xml:space="preserve">A blue carbon sink becomes a source</w:t>
      </w:r>
    </w:p>
    <w:p>
      <w:pPr>
        <w:pStyle w:val="FirstParagraph"/>
      </w:pPr>
      <w:r>
        <w:t xml:space="preserve">Intact forest was a strong net sink. Its net CO2 uptake (−3,743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(67)). Mortality therefore switched the radiative balance by ~6,400 g CO2-eq m−2 yr−1 at GWP20 (~5,800 at GWP100). The switch has three parts (Fig. 5B): the intact forest’s lost uptake (3,743 g CO2), a recovery debt that persists until the canopy regrows; CO2 released by the dead stand (1,810); and added methane (843 g CO2-eq at GWP20, 290 at GWP100). Methane adds 47% to the warming from the dead stand’s CO2 release at GWP20 (16% at GWP100), and it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(68, 69), so the carbon an intact forest retains is smaller than its net CO2 uptake. Counting exported alkalinity as a durable ocean store (70, 71) and the rest as returned to the atmosphere, using a Shark River synthesis of lateral export (72), the intact sink shrinks to ~−2,700 g CO2-eq m−2 yr−1 and the switch remains ~5,400 (Fig. 3D; text S5). Across all other analytical choices we tested (flooding, temperature scaling, downed wood, canopy respiration and the tidal and daily timing of methane), the switch stayed between ~5,600 and ~8,000 (table S3; fig. S20). Independent routes agree in sign and order of magnitude. The airborne class fluxes alone, with midday CO2 scaled to daily by the regional tower relation (73), give a switch of ~4,500 g CO2-eq m−2 yr−1 at GWP20 (2,000–7,000), and the BlueFlux regional upscaling over all mapped 2017 dieback gives ~1,700 (73). Both are smaller, as expected for estimates that average over flight footprints or 500 m pixels and so mix persistent ghost forest with regreening stands and live margins, which our process sites separate (text S1; fig. S21).</w:t>
      </w:r>
    </w:p>
    <w:p>
      <w:pPr>
        <w:pStyle w:val="BodyText"/>
      </w:pPr>
      <w:r>
        <w:t xml:space="preserve">Scaled across the Caribbean, the switch is large. In a Landsat map of 2017 hurricane damage (74),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(75), similar to our exposed ghost soils. How long the enhancement lasts is the main uncertainty; at our sites, with no canopy recovery five to six years after landfall and sediment that may prevent it, the forcing recurs each year until stands recover. The estimate is conservative. The map captures only 60 of the 108 km2 of post-Irma dieback in Florida (36), and the switch omits two unmeasured losses of the dead stand that would add to its CO2 and CH4 rather than replace them (text S6). Peat collapse after root death (76) draws down a soil stock built over centuries and so lengthens the recovery debt. Lateral export matters only in part: because the ghost ponds are cut off from the tide, much of their dissolved carbon degasses in place, where our water chambers measured it, and exported alkalinity is a durable ocean store rather than a source.</w:t>
      </w:r>
    </w:p>
    <w:p>
      <w:pPr>
        <w:pStyle w:val="BodyText"/>
      </w:pPr>
      <w:r>
        <w:drawing>
          <wp:inline>
            <wp:extent cx="5334000" cy="5482166"/>
            <wp:effectExtent b="0" l="0" r="0" t="0"/>
            <wp:docPr descr="" title="" id="28" name="Picture"/>
            <a:graphic>
              <a:graphicData uri="http://schemas.openxmlformats.org/drawingml/2006/picture">
                <pic:pic>
                  <pic:nvPicPr>
                    <pic:cNvPr descr="output/figures/main/Fig5_climate.png" id="29" name="Picture"/>
                    <pic:cNvPicPr>
                      <a:picLocks noChangeArrowheads="1" noChangeAspect="1"/>
                    </pic:cNvPicPr>
                  </pic:nvPicPr>
                  <pic:blipFill>
                    <a:blip r:embed="rId27"/>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of measured vertical exchange, split into lost uptake (the intact stand’s net CO2 uptake, a recovery debt until regrowth), CO2 released by the dead stand and added CH4; whiskers, Monte Carlo 95% intervals; labels, CH4 as a percentage of the dead stand’s CO2 release and the regional total over 173 km2. Lateral export and peat loss of the dead stand are not included (text S6). (</w:t>
      </w:r>
      <w:r>
        <w:rPr>
          <w:b/>
          <w:bCs/>
        </w:rPr>
        <w:t xml:space="preserve">C</w:t>
      </w:r>
      <w:r>
        <w:t xml:space="preserve">) Induced CH4 from 2017 hurricane dieback (74) per 0.25° cell, with the tracks of Irma and Maria; 173 km2 of dieback inducing 1.8 Gg CH4 yr−1 (0.5–3.1).</w:t>
      </w:r>
    </w:p>
    <w:bookmarkEnd w:id="30"/>
    <w:bookmarkStart w:id="31"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These conclusions rest on a space-for-time comparison with limited replication: two ground sites per class (one regenerating site, without TLS or airborne closure) and two chamber campaigns that miss night, summer and most of the tidal cycle. We therefore treated the ground sites as process sites and tested them against airborne class fluxes before scaling. Chambers and aircraft agreed within uncertainty but not exactly. In the wet season the aircraft saw more intact-forest methane than the chamber budget, which samples near slack water and in daylight, so tidal pulses, night-time emission and lateral transport of dissolved methane are the likeliest missing terms; lateral export and burial come from the literature (supplementary text). None of these changes the direction of the switch, which held across every analytical choice we tested (table S3). They mark what to measure next, and the approach used here (chambers on every surface, scaled by measured structure and checked against airborne fluxes) is a template for other blue-carbon and disturbed ecosystems.</w:t>
      </w:r>
    </w:p>
    <w:p>
      <w:pPr>
        <w:pStyle w:val="BodyText"/>
      </w:pPr>
      <w:r>
        <w:t xml:space="preserve">Hurricane mortality is therefore a positive climate feedback that current accounting omits. The dieback we scaled reflects essentially one storm season in one region, a small fraction of the cyclone-exposed mangrove coast (77, 78), and the proportion of intense cyclones is projected to rise (41). Recovery restores the sink, which strengthens the case for conserving intact mangrove and restoring damaged stands, but regrowth alone was not enough: the regenerating stand, recolonized behind an impoundment, still emitted as much methane as ghost forest. Restoring canopy is not restoring hydrology. Reconnecting tidal flushing could act on both problems at once, draining ponded water and removing the sulfide and salt that may block regrowth; whether reopening tidal exchange to impounded die-off (79) brings methane down, and how long the enhancement lasts, are questions that before–after studies of restoration can answer. Blue-carbon crediting should carry both an accurate methane baseline and a permanence-risk term for disturbance (80, 81). A hurricane-killed mangrove is not a diminished sink; it is a methane-amplified source.</w:t>
      </w:r>
    </w:p>
    <w:p>
      <w:r>
        <w:pict>
          <v:rect style="width:0;height:1.5pt" o:hralign="center" o:hrstd="t" o:hr="t"/>
        </w:pict>
      </w:r>
    </w:p>
    <w:p>
      <w:r>
        <w:pict>
          <v:rect style="width:0;height:1.5pt" o:hralign="center" o:hrstd="t" o:hr="t"/>
        </w:pict>
      </w:r>
    </w:p>
    <w:bookmarkEnd w:id="31"/>
    <w:bookmarkEnd w:id="32"/>
    <w:bookmarkStart w:id="33"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K. L. McKee, I. A. Mendelssohn, M. W. Hester, Reexamination of pore water sulfide concentrations and redox potentials near the aerial roots of Rhizophora mangle and Avicennia germinans.</w:t>
      </w:r>
      <w:r>
        <w:t xml:space="preserve"> </w:t>
      </w:r>
      <w:r>
        <w:rPr>
          <w:i/>
          <w:iCs/>
        </w:rPr>
        <w:t xml:space="preserve">Am. J. Bot.</w:t>
      </w:r>
      <w:r>
        <w:t xml:space="preserve"> </w:t>
      </w:r>
      <w:r>
        <w:rPr>
          <w:b/>
          <w:bCs/>
        </w:rPr>
        <w:t xml:space="preserve">75</w:t>
      </w:r>
      <w:r>
        <w:t xml:space="preserve">, 1352–1359 (1988).</w:t>
      </w:r>
    </w:p>
    <w:p>
      <w:pPr>
        <w:pStyle w:val="Compact"/>
        <w:numPr>
          <w:ilvl w:val="0"/>
          <w:numId w:val="1001"/>
        </w:numPr>
      </w:pPr>
      <w:r>
        <w:t xml:space="preserve">E. Kristensen, D. M. Alongi, Control by fiddler crabs (Uca vocans) and plant roots (Avicennia marina) on carbon, iron, and sulfur biogeochemistry in mangrove sediment.</w:t>
      </w:r>
      <w:r>
        <w:t xml:space="preserve"> </w:t>
      </w:r>
      <w:r>
        <w:rPr>
          <w:i/>
          <w:iCs/>
        </w:rPr>
        <w:t xml:space="preserve">Limnol. Oceanogr.</w:t>
      </w:r>
      <w:r>
        <w:t xml:space="preserve"> </w:t>
      </w:r>
      <w:r>
        <w:rPr>
          <w:b/>
          <w:bCs/>
        </w:rPr>
        <w:t xml:space="preserve">51</w:t>
      </w:r>
      <w:r>
        <w:t xml:space="preserve">, 1557–1571 (2006).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K. W. Krauss et al., Environmental drivers in mangrove establishment and early development: a review.</w:t>
      </w:r>
      <w:r>
        <w:t xml:space="preserve"> </w:t>
      </w:r>
      <w:r>
        <w:rPr>
          <w:i/>
          <w:iCs/>
        </w:rPr>
        <w:t xml:space="preserve">Aquat. Bot.</w:t>
      </w:r>
      <w:r>
        <w:t xml:space="preserve"> </w:t>
      </w:r>
      <w:r>
        <w:rPr>
          <w:b/>
          <w:bCs/>
        </w:rPr>
        <w:t xml:space="preserve">89</w:t>
      </w:r>
      <w:r>
        <w:t xml:space="preserve">, 105–127 (2008).</w:t>
      </w:r>
    </w:p>
    <w:p>
      <w:pPr>
        <w:pStyle w:val="Compact"/>
        <w:numPr>
          <w:ilvl w:val="0"/>
          <w:numId w:val="1001"/>
        </w:numPr>
      </w:pPr>
      <w:r>
        <w:t xml:space="preserve">G. Lin, L. Sternberg, da S.</w:t>
      </w:r>
      <w:r>
        <w:t xml:space="preserve"> </w:t>
      </w:r>
      <w:r>
        <w:rPr>
          <w:i/>
          <w:iCs/>
        </w:rPr>
        <w:t xml:space="preserve">L. Effect of growth form, salinity, nutrient and sulfide on photosynthesis, carbon isotope discrimination and growth of red mangrove (Rhizophora mangle L.). Aust. J. Plant Physiol.</w:t>
      </w:r>
      <w:r>
        <w:t xml:space="preserve"> </w:t>
      </w:r>
      <w:r>
        <w:rPr>
          <w:b/>
          <w:bCs/>
        </w:rPr>
        <w:t xml:space="preserve">19</w:t>
      </w:r>
      <w:r>
        <w:t xml:space="preserve">, 509–517 (1992).</w:t>
      </w:r>
    </w:p>
    <w:p>
      <w:pPr>
        <w:pStyle w:val="Compact"/>
        <w:numPr>
          <w:ilvl w:val="0"/>
          <w:numId w:val="1001"/>
        </w:numPr>
      </w:pPr>
      <w:r>
        <w:t xml:space="preserve">M. S. Koch, I. A. Mendelssohn, K. L. McKee, Mechanism for the hydrogen sulfide-induced growth limitation in wetland macrophytes.</w:t>
      </w:r>
      <w:r>
        <w:t xml:space="preserve"> </w:t>
      </w:r>
      <w:r>
        <w:rPr>
          <w:i/>
          <w:iCs/>
        </w:rPr>
        <w:t xml:space="preserve">Limnol. Oceanogr.</w:t>
      </w:r>
      <w:r>
        <w:t xml:space="preserve"> </w:t>
      </w:r>
      <w:r>
        <w:rPr>
          <w:b/>
          <w:bCs/>
        </w:rPr>
        <w:t xml:space="preserve">35</w:t>
      </w:r>
      <w:r>
        <w:t xml:space="preserve">, 399–408 (1990).</w:t>
      </w:r>
    </w:p>
    <w:p>
      <w:pPr>
        <w:pStyle w:val="Compact"/>
        <w:numPr>
          <w:ilvl w:val="0"/>
          <w:numId w:val="1001"/>
        </w:numPr>
      </w:pPr>
      <w:r>
        <w:t xml:space="preserve">L. P. M. Lamers et al., Sulfide as a soil phytotoxin—a review.</w:t>
      </w:r>
      <w:r>
        <w:t xml:space="preserve"> </w:t>
      </w:r>
      <w:r>
        <w:rPr>
          <w:i/>
          <w:iCs/>
        </w:rPr>
        <w:t xml:space="preserve">Front. Plant Sci.</w:t>
      </w:r>
      <w:r>
        <w:t xml:space="preserve"> </w:t>
      </w:r>
      <w:r>
        <w:rPr>
          <w:b/>
          <w:bCs/>
        </w:rPr>
        <w:t xml:space="preserve">4</w:t>
      </w:r>
      <w:r>
        <w:t xml:space="preserve">, 268 (2013).</w:t>
      </w:r>
    </w:p>
    <w:p>
      <w:pPr>
        <w:pStyle w:val="Compact"/>
        <w:numPr>
          <w:ilvl w:val="0"/>
          <w:numId w:val="1001"/>
        </w:numPr>
      </w:pPr>
      <w:r>
        <w:t xml:space="preserve">R. M. Chambers, J. W. Fourqurean, S. A. Macko, R. Hoppenot, Biogeochemical effects of iron availability on primary producers in a shallow marine carbonate environment.</w:t>
      </w:r>
      <w:r>
        <w:t xml:space="preserve"> </w:t>
      </w:r>
      <w:r>
        <w:rPr>
          <w:i/>
          <w:iCs/>
        </w:rPr>
        <w:t xml:space="preserve">Limnol. Oceanogr.</w:t>
      </w:r>
      <w:r>
        <w:t xml:space="preserve"> </w:t>
      </w:r>
      <w:r>
        <w:rPr>
          <w:b/>
          <w:bCs/>
        </w:rPr>
        <w:t xml:space="preserve">46</w:t>
      </w:r>
      <w:r>
        <w:t xml:space="preserve">, 1278–1286 (2001).</w:t>
      </w:r>
    </w:p>
    <w:p>
      <w:pPr>
        <w:pStyle w:val="Compact"/>
        <w:numPr>
          <w:ilvl w:val="0"/>
          <w:numId w:val="1001"/>
        </w:numPr>
      </w:pPr>
      <w:r>
        <w:t xml:space="preserve">P. Julian, R. M. Chambers, T. Russell, Iron and pyritization in wetland soils of the Florida Coastal Everglades.</w:t>
      </w:r>
      <w:r>
        <w:t xml:space="preserve"> </w:t>
      </w:r>
      <w:r>
        <w:rPr>
          <w:i/>
          <w:iCs/>
        </w:rPr>
        <w:t xml:space="preserve">Estuar. Coasts</w:t>
      </w:r>
      <w:r>
        <w:t xml:space="preserve"> </w:t>
      </w:r>
      <w:r>
        <w:rPr>
          <w:b/>
          <w:bCs/>
        </w:rPr>
        <w:t xml:space="preserve">40</w:t>
      </w:r>
      <w:r>
        <w:t xml:space="preserve">, 822–831 (2017).</w:t>
      </w:r>
    </w:p>
    <w:p>
      <w:pPr>
        <w:pStyle w:val="Compact"/>
        <w:numPr>
          <w:ilvl w:val="0"/>
          <w:numId w:val="1001"/>
        </w:numPr>
      </w:pPr>
      <w:r>
        <w:t xml:space="preserve">F. R. Thibodeau, N. H. Nickerson, Differential oxidation of mangrove substrate by Avicennia germinans and Rhizophora mangle.</w:t>
      </w:r>
      <w:r>
        <w:t xml:space="preserve"> </w:t>
      </w:r>
      <w:r>
        <w:rPr>
          <w:i/>
          <w:iCs/>
        </w:rPr>
        <w:t xml:space="preserve">Am. J. Bot.</w:t>
      </w:r>
      <w:r>
        <w:t xml:space="preserve"> </w:t>
      </w:r>
      <w:r>
        <w:rPr>
          <w:b/>
          <w:bCs/>
        </w:rPr>
        <w:t xml:space="preserve">73</w:t>
      </w:r>
      <w:r>
        <w:t xml:space="preserve">, 512–516 (1986).</w:t>
      </w:r>
    </w:p>
    <w:p>
      <w:pPr>
        <w:pStyle w:val="Compact"/>
        <w:numPr>
          <w:ilvl w:val="0"/>
          <w:numId w:val="1001"/>
        </w:numPr>
      </w:pPr>
      <w:r>
        <w:t xml:space="preserve">R. Pérez-Ceballos et al., Porewater sulfide: the most critical regulator in the degradation of mangroves dominated by tides.</w:t>
      </w:r>
      <w:r>
        <w:t xml:space="preserve"> </w:t>
      </w:r>
      <w:r>
        <w:rPr>
          <w:i/>
          <w:iCs/>
        </w:rPr>
        <w:t xml:space="preserve">Forests</w:t>
      </w:r>
      <w:r>
        <w:t xml:space="preserve"> </w:t>
      </w:r>
      <w:r>
        <w:rPr>
          <w:b/>
          <w:bCs/>
        </w:rPr>
        <w:t xml:space="preserve">13</w:t>
      </w:r>
      <w:r>
        <w:t xml:space="preserve">, 1307 (2022).</w:t>
      </w:r>
    </w:p>
    <w:p>
      <w:pPr>
        <w:pStyle w:val="Compact"/>
        <w:numPr>
          <w:ilvl w:val="0"/>
          <w:numId w:val="1001"/>
        </w:numPr>
      </w:pPr>
      <w:r>
        <w:t xml:space="preserve">V. B. Restrepo et al., Multiple factors explain species-specific regeneration of mangrove seedlings and saplings after a major hurricane.</w:t>
      </w:r>
      <w:r>
        <w:t xml:space="preserve"> </w:t>
      </w:r>
      <w:r>
        <w:rPr>
          <w:i/>
          <w:iCs/>
        </w:rPr>
        <w:t xml:space="preserve">Ecosphere</w:t>
      </w:r>
      <w:r>
        <w:t xml:space="preserve"> </w:t>
      </w:r>
      <w:r>
        <w:rPr>
          <w:b/>
          <w:bCs/>
        </w:rPr>
        <w:t xml:space="preserve">16</w:t>
      </w:r>
      <w:r>
        <w:t xml:space="preserve">, e70298 (2025).</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3"/>
    <w:bookmarkStart w:id="34"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 US-Skr data were provided by AmeriFlux (Fuentes, Malone &amp; Troxler, doi:10.17190/AMF/1246105); AmeriFlux is funded by the U.S. Department of Energy Office of Science.</w:t>
      </w:r>
      <w:r>
        <w:t xml:space="preserve"> </w:t>
      </w:r>
      <w:r>
        <w:rPr>
          <w:b/>
          <w:bCs/>
        </w:rPr>
        <w:t xml:space="preserve">Funding:</w:t>
      </w:r>
      <w:r>
        <w:t xml:space="preserve"> </w:t>
      </w:r>
      <w:r>
        <w:t xml:space="preserve">NASA Carbon Monitoring System (BlueFlux); NSF Graduate Research Fellowship and NASA Connecticut Space Grant Graduate Fellowship (J.G.);</w:t>
      </w:r>
      <w:r>
        <w:t xml:space="preserve"> </w:t>
      </w:r>
      <w:r>
        <w:rPr>
          <w:i/>
          <w:iCs/>
        </w:rPr>
        <w:t xml:space="preserve">[pending: other funding]</w:t>
      </w:r>
      <w:r>
        <w:t xml:space="preserve">.</w:t>
      </w:r>
      <w:r>
        <w:t xml:space="preserve"> </w:t>
      </w:r>
      <w:r>
        <w:rPr>
          <w:b/>
          <w:bCs/>
        </w:rPr>
        <w:t xml:space="preserve">Author contributions:</w:t>
      </w:r>
      <w:r>
        <w:t xml:space="preserve"> </w:t>
      </w:r>
      <w:r>
        <w:rPr>
          <w:i/>
          <w:iCs/>
        </w:rPr>
        <w:t xml:space="preserve">[pending]</w:t>
      </w:r>
      <w:r>
        <w:t xml:space="preserve">.</w:t>
      </w:r>
      <w:r>
        <w:t xml:space="preserve"> </w:t>
      </w:r>
      <w:r>
        <w:rPr>
          <w:b/>
          <w:bCs/>
        </w:rPr>
        <w:t xml:space="preserve">Competing interests:</w:t>
      </w:r>
      <w:r>
        <w:t xml:space="preserve"> </w:t>
      </w:r>
      <w:r>
        <w:rPr>
          <w:i/>
          <w:iCs/>
        </w:rPr>
        <w:t xml:space="preserve">[pending]</w:t>
      </w:r>
      <w:r>
        <w:t xml:space="preserve">.</w:t>
      </w:r>
      <w:r>
        <w:t xml:space="preserve"> </w:t>
      </w:r>
      <w:r>
        <w:rPr>
          <w:b/>
          <w:bCs/>
        </w:rPr>
        <w:t xml:space="preserve">Data and materials availability:</w:t>
      </w:r>
      <w:r>
        <w:t xml:space="preserve"> </w:t>
      </w:r>
      <w:r>
        <w:t xml:space="preserve">the chamber flux dataset and analysis workflow are at</w:t>
      </w:r>
      <w:r>
        <w:t xml:space="preserve"> </w:t>
      </w:r>
      <w:r>
        <w:rPr>
          <w:i/>
          <w:iCs/>
        </w:rPr>
        <w:t xml:space="preserve">[pending: repository URL]</w:t>
      </w:r>
      <w:r>
        <w:t xml:space="preserve">; all external datasets used are listed with citations in data S2.</w:t>
      </w:r>
    </w:p>
    <w:p>
      <w:r>
        <w:pict>
          <v:rect style="width:0;height:1.5pt" o:hralign="center" o:hrstd="t" o:hr="t"/>
        </w:pict>
      </w:r>
    </w:p>
    <w:bookmarkEnd w:id="34"/>
    <w:bookmarkStart w:id="35" w:name="supplementary-materials"/>
    <w:p>
      <w:pPr>
        <w:pStyle w:val="Heading2"/>
      </w:pPr>
      <w:r>
        <w:t xml:space="preserve">Supplementary Materials</w:t>
      </w:r>
    </w:p>
    <w:p>
      <w:pPr>
        <w:pStyle w:val="FirstParagraph"/>
      </w:pPr>
      <w:r>
        <w:t xml:space="preserve">Materials and Methods; Supplementary Text S1 to S12; Figures S1 to S21; Tables S1 to S16; References; Data S1 and S2.</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2026-10-10T00:02:00Z</dcterms:created>
  <dcterms:modified xsi:type="dcterms:W3CDTF">2026-10-10T00:02:00Z</dcterms:modified>
</cp:coreProperties>
</file>

<file path=docProps/custom.xml><?xml version="1.0" encoding="utf-8"?>
<Properties xmlns="http://schemas.openxmlformats.org/officeDocument/2006/custom-properties" xmlns:vt="http://schemas.openxmlformats.org/officeDocument/2006/docPropsVTypes"/>
</file>