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47.png" ContentType="image/png"/>
  <Override PartName="/word/media/rId95.png" ContentType="image/png"/>
  <Override PartName="/word/media/rId98.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S20;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0.44–6.8,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S12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 Profiles are shown in Fig. 4 and, with the 2022–2023 rounds and the alkalinity balance, in fig. S17.</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S18)</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S20).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6d942d8cb80c43701443aa990b8772bb287d334"/>
    <w:p>
      <w:pPr>
        <w:pStyle w:val="Heading2"/>
      </w:pPr>
      <w:r>
        <w:t xml:space="preserve">Text S7. Porewater redox, sulfur, iron and methane</w:t>
      </w:r>
    </w:p>
    <w:p>
      <w:pPr>
        <w:pStyle w:val="FirstParagraph"/>
      </w:pPr>
      <w:r>
        <w:t xml:space="preserve">The October 2025 profiles (0–90 cm; Fig. 4C)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root zone kept oxidized by oxygen loss from live roots and by burrows, in which ferric iron is regenerated and sulfide removed {mckee1993;kristensen2008}.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BL60 is the contrast. Its sulfate deficit (up to 62%) and alkalinity indicate the most sulfate reduction of any site, yet dissolved sulfide stayed at or below 0.24 mM, so sulfide produced there was being removed: by precipitation with iron (present at the surface), by reoxidation in the root zone of the regrowing trees, or by loss from the stagnant surface water. Colour from its high DOC would, if anything, raise the colorimetric reading. With one regenerating site this cannot be generalized, but it suggests that whether sulfide is removed near the surface, by regrowing roots or by site chemistry,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S19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S7):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S7). Fill, forest class; shape, site. FLM30 was not sampled for alkalinity.</w:t>
      </w:r>
    </w:p>
    <w:p>
      <w:pPr>
        <w:pStyle w:val="BodyText"/>
      </w:pPr>
      <w:r>
        <w:rPr>
          <w:b/>
          <w:bCs/>
        </w:rPr>
        <w:t xml:space="preserve">Figure S18.</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6" name="Picture"/>
            <a:graphic>
              <a:graphicData uri="http://schemas.openxmlformats.org/drawingml/2006/picture">
                <pic:pic>
                  <pic:nvPicPr>
                    <pic:cNvPr descr="output/figures/other/si_sensitivity_switch.png" id="97" name="Picture"/>
                    <pic:cNvPicPr>
                      <a:picLocks noChangeArrowheads="1" noChangeAspect="1"/>
                    </pic:cNvPicPr>
                  </pic:nvPicPr>
                  <pic:blipFill>
                    <a:blip r:embed="rId9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S19.</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99" name="Picture"/>
            <a:graphic>
              <a:graphicData uri="http://schemas.openxmlformats.org/drawingml/2006/picture">
                <pic:pic>
                  <pic:nvPicPr>
                    <pic:cNvPr descr="output/figures/other/si_switch_methods.png" id="100" name="Picture"/>
                    <pic:cNvPicPr>
                      <a:picLocks noChangeArrowheads="1" noChangeAspect="1"/>
                    </pic:cNvPicPr>
                  </pic:nvPicPr>
                  <pic:blipFill>
                    <a:blip r:embed="rId98"/>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(0.25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(0.23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47" Target="media/rId47.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2026-10-05T06:57:10Z</dcterms:created>
  <dcterms:modified xsi:type="dcterms:W3CDTF">2026-10-05T06:57:10Z</dcterms:modified>
</cp:coreProperties>
</file>

<file path=docProps/custom.xml><?xml version="1.0" encoding="utf-8"?>
<Properties xmlns="http://schemas.openxmlformats.org/officeDocument/2006/custom-properties" xmlns:vt="http://schemas.openxmlformats.org/officeDocument/2006/docPropsVTypes"/>
</file>