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CARAFE airborne eddy covariance (46, 47),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Computed from the airborne class fluxes alone, with midday CO2 scaled to daily by the regional tower relation (43), the switch is ~4,500 g CO2-eq m−2 yr−1 at GWP20 (2,000–7,000), below but overlapping the site-based ~6,400; a regional upscaling over all mapped 2017 dieback, which includes stands now regreening, gives ~1,700 (43) (fig. S21; text S5).</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2026-10-04T08:56:45Z</dcterms:created>
  <dcterms:modified xsi:type="dcterms:W3CDTF">2026-10-04T08:56:45Z</dcterms:modified>
</cp:coreProperties>
</file>

<file path=docProps/custom.xml><?xml version="1.0" encoding="utf-8"?>
<Properties xmlns="http://schemas.openxmlformats.org/officeDocument/2006/custom-properties" xmlns:vt="http://schemas.openxmlformats.org/officeDocument/2006/docPropsVTypes"/>
</file>