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3.png" ContentType="image/png"/>
  <Override PartName="/word/media/rId17.png" ContentType="image/png"/>
  <Override PartName="/word/media/rId21.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X92a3fc82795c8cf9d5b5899a1f48cfac459762c"/>
    <w:p>
      <w:pPr>
        <w:pStyle w:val="Heading1"/>
      </w:pPr>
      <w:r>
        <w:t xml:space="preserve">Hurricane-induced mortality switches mangroves from carbon sink to methane source</w:t>
      </w:r>
    </w:p>
    <w:p>
      <w:pPr>
        <w:pStyle w:val="FirstParagraph"/>
      </w:pPr>
      <w:r>
        <w:rPr>
          <w:b/>
          <w:bCs/>
        </w:rPr>
        <w:t xml:space="preserve">Jonathan Gewirtzman</w:t>
      </w:r>
      <w:r>
        <w:t xml:space="preserve">, Elisabeth Powell, Frannie Adams, Sean Charles, Erin Delaria, Cheryl Doughty, Lin Xiong, Lucy Carruthers, Addison Colwell, Atticus Stovall, Glenn Wolfe, Judith Rosentreter, Derrick Vaughn, Anthony Campbell, Mingyu Zhang, Samuel Tsao, Megan Brueck, Ben Girgenti, Mike Norton, Jessie Peterman, Ayia Lindquist, William Chen, [Jordan Peccia, Irvan Luhung,] Sparkle Malone, Benjamin Poulter, David Lagomasino, Peter Raymond</w:t>
      </w:r>
    </w:p>
    <w:p>
      <w:pPr>
        <w:pStyle w:val="BodyText"/>
      </w:pPr>
      <w:r>
        <w:rPr>
          <w:i/>
          <w:iCs/>
        </w:rPr>
        <w:t xml:space="preserve">[Affiliations to complete (Yale School of the Environment; Yale Center for Natural Carbon Capture; University of Maryland; East Carolina University and Coastal Studies Institute; NASA Goddard Space Flight Center; Southern Cross University; Utah State University; Spark Climate Solutions; Stanford). Corresponding author: J. Gewirtzman.]</w:t>
      </w:r>
    </w:p>
    <w:p>
      <w:pPr>
        <w:pStyle w:val="BodyText"/>
      </w:pPr>
      <w:r>
        <w:rPr>
          <w:i/>
          <w:iCs/>
        </w:rPr>
        <w:t xml:space="preserve">Draft for Science (Research Article: ≤3,000-word main text, ≤5 display items, ~50 references; Materials and Methods in the supplementary materials). Citations are reference keys in braces, defined in manuscript/references.md, numbered by manuscript/build_docx.py. Figures follow output/figures/main/Fig1–Fig5. Placeholders in brackets.</w:t>
      </w:r>
    </w:p>
    <w:p>
      <w:pPr>
        <w:pStyle w:val="BodyText"/>
      </w:pPr>
      <w:r>
        <w:rPr>
          <w:b/>
          <w:bCs/>
        </w:rPr>
        <w:t xml:space="preserve">One-sentence summary.</w:t>
      </w:r>
      <w:r>
        <w:t xml:space="preserve"> </w:t>
      </w:r>
      <w:r>
        <w:t xml:space="preserve">Hurricane-killed mangroves become methane-amplified carbon sources, a climate feedback missing from blue-carbon accounting.</w:t>
      </w:r>
    </w:p>
    <w:p>
      <w:r>
        <w:pict>
          <v:rect style="width:0;height:1.5pt" o:hralign="center" o:hrstd="t" o:hr="t"/>
        </w:pict>
      </w:r>
    </w:p>
    <w:bookmarkStart w:id="9" w:name="abstract"/>
    <w:p>
      <w:pPr>
        <w:pStyle w:val="Heading2"/>
      </w:pPr>
      <w:r>
        <w:t xml:space="preserve">Abstract</w:t>
      </w:r>
    </w:p>
    <w:p>
      <w:pPr>
        <w:pStyle w:val="FirstParagraph"/>
      </w:pPr>
      <w:r>
        <w:t xml:space="preserve">Saline mangroves are assumed to emit little methane, and blue-carbon accounting treats them as strong sinks. We measured methane and CO2 from six surfaces across intact, regenerating and hurricane-killed (</w:t>
      </w:r>
      <w:r>
        <w:t xml:space="preserve">“ghost”</w:t>
      </w:r>
      <w:r>
        <w:t xml:space="preserve">) mangrove in the Florida Everglades, scaled them with terrestrial laser scanning, and checked them against tower and airborne eddy covariance. Intact forest emitted methane well above emission-factor assumptions, mostly from soils and prop roots. Mortality raised emission eightfold, moved it to ponded water, and reversed the porewater salinity–methane relationship. Ghost forest was a net source, a switch of ~6,400 g CO2-eq m−2 yr−1 over 20 years, a third of ghost-forest warming coming from methane. Across Caribbean mangrove lost in 2017, the switch adds ~1.1 Tg CO2-eq yr−1, a feedback missing from current accounting.</w:t>
      </w:r>
    </w:p>
    <w:p>
      <w:pPr>
        <w:pStyle w:val="BodyText"/>
      </w:pPr>
      <w:r>
        <w:rPr>
          <w:i/>
          <w:iCs/>
        </w:rPr>
        <w:t xml:space="preserve">[~120 words]</w:t>
      </w:r>
    </w:p>
    <w:p>
      <w:r>
        <w:pict>
          <v:rect style="width:0;height:1.5pt" o:hralign="center" o:hrstd="t" o:hr="t"/>
        </w:pict>
      </w:r>
    </w:p>
    <w:bookmarkEnd w:id="9"/>
    <w:bookmarkStart w:id="30" w:name="main-text"/>
    <w:p>
      <w:pPr>
        <w:pStyle w:val="Heading2"/>
      </w:pPr>
      <w:r>
        <w:t xml:space="preserve">Main text</w:t>
      </w:r>
    </w:p>
    <w:p>
      <w:pPr>
        <w:pStyle w:val="FirstParagraph"/>
      </w:pPr>
      <w:r>
        <w:t xml:space="preserve">Mangrove forests cover ~147,000 km2 of tropical and subtropical coastline (1), store 2–10 Pg of carbon (2, 3) and bury 18–23 Tg C yr−1 in their soils (4). That capacity has made them central to blue-carbon policy, carbon crediting and nature-based climate solutions (5, 6). Like all wetlands, mangroves also produce methane, which warms the climate 81 times more than CO2 over 20 years and 28 times more over 100 (7). Methane may offset 17–23% of global mangrove soil carbon burial (8), and a recent global estimate attributes a further ~17% to tree stems (9).</w:t>
      </w:r>
    </w:p>
    <w:p>
      <w:pPr>
        <w:pStyle w:val="BodyText"/>
      </w:pPr>
      <w:r>
        <w:t xml:space="preserve">The prevailing view is that saline mangroves emit little methane. Tidal exchange delivers sulfate, and sulfate-reducing bacteria outcompete methanogens for shared substrates (10–12); oxygen from tides and roots, and anaerobic oxidation coupled to sulfate reduction, consume much of the methane that is produced (13). Methane emission therefore declines with salinity (14–16), offsets to carbon burial are far smaller in saline than in freshwater mangrove soils (~7% vs ~27%) (13), and the IPCC 2013 Wetlands Supplement sets mangrove methane to zero above 18 PSU (17). Blue-carbon crediting methodologies assign only small default soil emission factors at these salinities (0.56–1.1 g CH4 m−2 yr−1 above 18–20 ppt) (18).</w:t>
      </w:r>
    </w:p>
    <w:p>
      <w:pPr>
        <w:pStyle w:val="BodyText"/>
      </w:pPr>
      <w:r>
        <w:t xml:space="preserve">Two lines of evidence challenge that view. First, the framework rests mainly on soil measurements, yet methane also leaves wetlands through tidal water, prop roots, stems and dead wood (9, 19–23), and some woody surfaces even take methane up (24). Component-resolved methane budgets for mangroves are almost absent from the Western Hemisphere, and none has been checked against an independent ecosystem-scale measurement. Second, methanogens that use substrates sulfate reducers do not compete for, such as methylamines and methanol, can persist in sulfate-rich and even hypersaline sediment (25–30), and methanogenesis even proceeds in oxygenated wetland soils (31), so salinity need not suppress methane.</w:t>
      </w:r>
    </w:p>
    <w:p>
      <w:pPr>
        <w:pStyle w:val="BodyText"/>
      </w:pPr>
      <w:r>
        <w:t xml:space="preserve">Mangroves are also increasingly killed. Tropical cyclones, sea-level rise and drought have caused widespread mangrove mortality (32–34). Cyclones defoliate canopies, kill root systems and pond water behind fallen wood, leaving standing</w:t>
      </w:r>
      <w:r>
        <w:t xml:space="preserve"> </w:t>
      </w:r>
      <w:r>
        <w:t xml:space="preserve">“ghost forests”</w:t>
      </w:r>
      <w:r>
        <w:t xml:space="preserve"> </w:t>
      </w:r>
      <w:r>
        <w:t xml:space="preserve">that can persist for years (35–38), even where neighbouring stands resist and recover (39). Loss of root oxygen transport, a pulse of dead biomass and persistent flooding should all favour methane. Limited observations agree: creek methane rose 45% after a dieback in the Gulf of Mexico (40), and dead mangrove stems emitted eight times more methane than living ones in Australia (19). But no study has resolved how mortality changes each emission pathway, checked those changes against an ecosystem-scale measurement, or asked whether mortality changes the net radiative balance. With the proportion of intense cyclones rising (41), this is a question about a growing climate feedback.</w:t>
      </w:r>
    </w:p>
    <w:p>
      <w:pPr>
        <w:pStyle w:val="BodyText"/>
      </w:pPr>
      <w:r>
        <w:t xml:space="preserve">As part of NASA’s BlueFlux campaign (42, 43), we measured methane and CO2 across a hurricane-disturbance gradient in the Florida coastal Everglades, where Hurricane Irma (September 2017) left extensive ghost forest (36) (Fig. 1). We combined chambers on six surfaces (water, soil, prop roots, stems, downed wood and leaves) at intact, regenerating and ghost sites in wet- and dry-season campaigns; terrestrial laser scanning (TLS) (44, 45) to measure the area of each surface; the US-Skr eddy-covariance tower and CARAFE airborne eddy covariance (46, 47) as independent checks; and porewater chemistry and sediment metagenomes to identify mechanisms (Fig. 1C).</w:t>
      </w:r>
    </w:p>
    <w:p>
      <w:pPr>
        <w:pStyle w:val="BodyText"/>
      </w:pPr>
      <w:r>
        <w:drawing>
          <wp:inline>
            <wp:extent cx="5334000" cy="4815416"/>
            <wp:effectExtent b="0" l="0" r="0" t="0"/>
            <wp:docPr descr="" title="" id="11" name="Picture"/>
            <a:graphic>
              <a:graphicData uri="http://schemas.openxmlformats.org/drawingml/2006/picture">
                <pic:pic>
                  <pic:nvPicPr>
                    <pic:cNvPr descr="output/figures/main/Fig1_system.png" id="12" name="Picture"/>
                    <pic:cNvPicPr>
                      <a:picLocks noChangeArrowheads="1" noChangeAspect="1"/>
                    </pic:cNvPicPr>
                  </pic:nvPicPr>
                  <pic:blipFill>
                    <a:blip r:embed="rId10"/>
                    <a:stretch>
                      <a:fillRect/>
                    </a:stretch>
                  </pic:blipFill>
                  <pic:spPr bwMode="auto">
                    <a:xfrm>
                      <a:off x="0" y="0"/>
                      <a:ext cx="5334000" cy="4815416"/>
                    </a:xfrm>
                    <a:prstGeom prst="rect">
                      <a:avLst/>
                    </a:prstGeom>
                    <a:noFill/>
                    <a:ln w="9525">
                      <a:noFill/>
                      <a:headEnd/>
                      <a:tailEnd/>
                    </a:ln>
                  </pic:spPr>
                </pic:pic>
              </a:graphicData>
            </a:graphic>
          </wp:inline>
        </w:drawing>
      </w:r>
    </w:p>
    <w:p>
      <w:pPr>
        <w:pStyle w:val="BodyText"/>
      </w:pPr>
      <w:r>
        <w:rPr>
          <w:b/>
          <w:bCs/>
        </w:rPr>
        <w:t xml:space="preserve">Fig. 1. Study system and measurement design.</w:t>
      </w:r>
      <w:r>
        <w:t xml:space="preserve"> </w:t>
      </w:r>
      <w:r>
        <w:t xml:space="preserve">(</w:t>
      </w:r>
      <w:r>
        <w:rPr>
          <w:b/>
          <w:bCs/>
        </w:rPr>
        <w:t xml:space="preserve">A</w:t>
      </w:r>
      <w:r>
        <w:t xml:space="preserve">) South Florida study sites by forest class (core sites large; supporting sites small), mangrove extent in 2016 (Global Mangrove Watch v3.0) (1), 2017 hurricane dieback (61), the US-Skr eddy-covariance tower and Everglades National Park (dashed). (</w:t>
      </w:r>
      <w:r>
        <w:rPr>
          <w:b/>
          <w:bCs/>
        </w:rPr>
        <w:t xml:space="preserve">B</w:t>
      </w:r>
      <w:r>
        <w:t xml:space="preserve">) Intact (SRS5), regenerating (BL60) and ghost (CP40) forest. (</w:t>
      </w:r>
      <w:r>
        <w:rPr>
          <w:b/>
          <w:bCs/>
        </w:rPr>
        <w:t xml:space="preserve">C</w:t>
      </w:r>
      <w:r>
        <w:t xml:space="preserve">) Measurement design: chambers on stems at several heights, prop roots, sediment, water and downed wood; terrestrial laser scanning; tower and airborne eddy covariance.</w:t>
      </w:r>
      <w:r>
        <w:t xml:space="preserve"> </w:t>
      </w:r>
      <w:r>
        <w:rPr>
          <w:i/>
          <w:iCs/>
        </w:rPr>
        <w:t xml:space="preserve">[Draft illustration; labels pending.]</w:t>
      </w:r>
    </w:p>
    <w:bookmarkStart w:id="16" w:name="Xab56b7d8b52b1fb9e9d011a0c2064e8040be6bc"/>
    <w:p>
      <w:pPr>
        <w:pStyle w:val="Heading3"/>
      </w:pPr>
      <w:r>
        <w:t xml:space="preserve">Mangroves emit methane from nearly every surface</w:t>
      </w:r>
    </w:p>
    <w:p>
      <w:pPr>
        <w:pStyle w:val="FirstParagraph"/>
      </w:pPr>
      <w:r>
        <w:t xml:space="preserve">Across 752 chamber fluxes, every surface except leaves emitted methane in every forest class (Fig. 2A). Water and soil had the highest rates (17.6 and 17.1 nmol m−2 s−1 across sites), followed by stems (8.0) and prop roots (3.5); downed wood was lower (1.0) and leaves near zero. More than 90% of stem, root and water fluxes were positive. Mortality raised per-area emission sharply. Relative to intact forest, ghost-forest stems emitted ~40 times more methane, water surfaces ~18 times more and soils twice as much, and the regenerating site had the highest soil and water rates of all (Fig. 2A). Emission was strongly seasonal: wet-season stem and water fluxes were four and nine times their dry-season values, tracking inundation, and bubbles supplied up to a third of water-surface methane at disturbed sites in the wet season (fig. S4). CO2 efflux from stems, roots, soils and water was positive in all classes, and leaves were the only net CO2 sink (Fig. 2B).</w:t>
      </w:r>
    </w:p>
    <w:p>
      <w:pPr>
        <w:pStyle w:val="BodyText"/>
      </w:pPr>
      <w:r>
        <w:t xml:space="preserve">Woody emission was organized by height. Methane from stems and prop roots peaked at the water line in every class and declined upward (generalized additive model, p &lt; 0.001 in each class; Fig. 2D), the signature of sediment-derived gas venting through the lower bole rather than production within the wood. Stem CO2 showed no such gradient (Fig. 2E). The water-line peak was 13–28 times higher in disturbed than intact forest, and the classes converged by ~1 m. Once height and class were accounted for, species, season and whether a stem was alive or dead had little effect, and dead stems kept venting methane. Apparent species differences at the stem base reflected where bark meets the water: white mangrove and buttonwood trunks reach the water surface, whereas red mangrove meets it through its prop roots.</w:t>
      </w:r>
    </w:p>
    <w:p>
      <w:pPr>
        <w:pStyle w:val="BodyText"/>
      </w:pPr>
      <w:r>
        <w:t xml:space="preserve">High per-area rates did not translate into large stand-level fluxes. TLS showed that intact forest carries ~5.0 m2 of surface per m2 of ground, of which prop roots, stems and branches make up about a quarter, while ghost forest retains ~1.3 m2 m−2, mostly open water (Fig. 2C). Most woody surface lies far above the water line, where flux is lowest (Fig. 2F). Stems therefore contributed &lt;1% of stand methane in both intact and ghost forest, whereas the dense prop-root zone of intact red-mangrove forest contributed ~28% (Fig. 3A). This bears directly on the recent global estimate that mangrove stems emit ~730 Gg CH4 yr−1 (9), which has been questioned for leaning on a few extreme values and on soil flux as a predictor (48). Scaled by measured bark area, intact Everglades stems emitted ~0.01 g CH4 m−2 yr−1, several hundred times less than that model predicts per unit ground area for mangroves in Mexico and Brazil (~7 g CH4 m−2 yr−1). Stem flux must be scaled by measured bark area and its height profile, not inferred from soil flux.</w:t>
      </w:r>
    </w:p>
    <w:p>
      <w:pPr>
        <w:pStyle w:val="BodyText"/>
      </w:pPr>
      <w:r>
        <w:drawing>
          <wp:inline>
            <wp:extent cx="5334000" cy="5037666"/>
            <wp:effectExtent b="0" l="0" r="0" t="0"/>
            <wp:docPr descr="" title="" id="14" name="Picture"/>
            <a:graphic>
              <a:graphicData uri="http://schemas.openxmlformats.org/drawingml/2006/picture">
                <pic:pic>
                  <pic:nvPicPr>
                    <pic:cNvPr descr="output/figures/main/Fig2_rates.png" id="15" name="Picture"/>
                    <pic:cNvPicPr>
                      <a:picLocks noChangeArrowheads="1" noChangeAspect="1"/>
                    </pic:cNvPicPr>
                  </pic:nvPicPr>
                  <pic:blipFill>
                    <a:blip r:embed="rId13"/>
                    <a:stretch>
                      <a:fillRect/>
                    </a:stretch>
                  </pic:blipFill>
                  <pic:spPr bwMode="auto">
                    <a:xfrm>
                      <a:off x="0" y="0"/>
                      <a:ext cx="5334000" cy="5037666"/>
                    </a:xfrm>
                    <a:prstGeom prst="rect">
                      <a:avLst/>
                    </a:prstGeom>
                    <a:noFill/>
                    <a:ln w="9525">
                      <a:noFill/>
                      <a:headEnd/>
                      <a:tailEnd/>
                    </a:ln>
                  </pic:spPr>
                </pic:pic>
              </a:graphicData>
            </a:graphic>
          </wp:inline>
        </w:drawing>
      </w:r>
    </w:p>
    <w:p>
      <w:pPr>
        <w:pStyle w:val="BodyText"/>
      </w:pPr>
      <w:r>
        <w:rPr>
          <w:b/>
          <w:bCs/>
        </w:rPr>
        <w:t xml:space="preserve">Fig. 2. Flux rates and the surfaces they act on.</w:t>
      </w:r>
      <w:r>
        <w:t xml:space="preserve"> </w:t>
      </w:r>
      <w:r>
        <w:t xml:space="preserve">(</w:t>
      </w:r>
      <w:r>
        <w:rPr>
          <w:b/>
          <w:bCs/>
        </w:rPr>
        <w:t xml:space="preserve">A</w:t>
      </w:r>
      <w:r>
        <w:t xml:space="preserve">) CH4 and (</w:t>
      </w:r>
      <w:r>
        <w:rPr>
          <w:b/>
          <w:bCs/>
        </w:rPr>
        <w:t xml:space="preserve">B</w:t>
      </w:r>
      <w:r>
        <w:t xml:space="preserve">) CO2 flux per unit surface by component and forest class (small points, individual measurements; large points, means; bars, 95% bootstrap CIs for n ≥ 4; inverse-hyperbolic-sine axes). (</w:t>
      </w:r>
      <w:r>
        <w:rPr>
          <w:b/>
          <w:bCs/>
        </w:rPr>
        <w:t xml:space="preserve">C</w:t>
      </w:r>
      <w:r>
        <w:t xml:space="preserve">) Surface per unit ground area by component; pie area proportional to the total. (</w:t>
      </w:r>
      <w:r>
        <w:rPr>
          <w:b/>
          <w:bCs/>
        </w:rPr>
        <w:t xml:space="preserve">D</w:t>
      </w:r>
      <w:r>
        <w:t xml:space="preserve">) CH4 and (</w:t>
      </w:r>
      <w:r>
        <w:rPr>
          <w:b/>
          <w:bCs/>
        </w:rPr>
        <w:t xml:space="preserve">E</w:t>
      </w:r>
      <w:r>
        <w:t xml:space="preserve">) CO2 per unit woody surface by height above water, with generalized additive model fits (95% CI). (</w:t>
      </w:r>
      <w:r>
        <w:rPr>
          <w:b/>
          <w:bCs/>
        </w:rPr>
        <w:t xml:space="preserve">F</w:t>
      </w:r>
      <w:r>
        <w:t xml:space="preserve">) TLS woody surface by 0.5 m height bin; grey band, the chamber-sampled range enlarged in (D) and (E).</w:t>
      </w:r>
    </w:p>
    <w:bookmarkEnd w:id="16"/>
    <w:bookmarkStart w:id="20" w:name="dead-forests-emit-eight-times-more"/>
    <w:p>
      <w:pPr>
        <w:pStyle w:val="Heading3"/>
      </w:pPr>
      <w:r>
        <w:t xml:space="preserve">Dead forests emit eight times more</w:t>
      </w:r>
    </w:p>
    <w:p>
      <w:pPr>
        <w:pStyle w:val="FirstParagraph"/>
      </w:pPr>
      <w:r>
        <w:t xml:space="preserve">Scaling each surface’s flux by its area gives stand budgets (Fig. 3). Intact forest emitted 1.5 g CH4 m−2 yr−1 (2.5 at the most productive site), mostly from soils (55%) and prop roots (28%), with tidal water 14% (Fig. 3A). That is far above the zero that Tier-1 factors assign at these salinities (17) and above the crediting default for porewater above 20 ppt (18), so wetland methane budgets omit an intact saline-mangrove source. Measured against local carbon burial (123 g C m−2 yr−1), all intact pathways together offset ~9% of burial in CO2 equivalents (GWP100), within the 7–23% range reported for mangrove soils and waters (8, 13), but well below the halving of net cooling reported for some subtropical estuarine mangroves (49). Ghost forest emitted 11.9 g CH4 m−2 yr−1, eight times more, ~87% of it through flooded water surfaces (Fig. 3, A and D). Mortality thus moved emission from root-permeated sediment that drains on each tide to permanently ponded water. Respiration shifted in the same way: leaves dominated intact-forest respiration, whereas ghost-forest respiration came from water, sediment and standing and downed dead wood (Fig. 3B). The budgets were insensitive to how stem flux was extrapolated above measured heights (≤4%), because stems are a small term, and ghost-forest emission rests mainly on directly measured water fluxes scaled by inundated area (fig. S7).</w:t>
      </w:r>
    </w:p>
    <w:p>
      <w:pPr>
        <w:pStyle w:val="BodyText"/>
      </w:pPr>
      <w:r>
        <w:t xml:space="preserve">The disturbance response was not simply monotonic. Assigning the regenerating stand woody and root areas between those of intact and ghost forest, at its measured inundation, gives ~33 g CH4 m−2 yr−1, more than ghost forest, suggesting that early regeneration may be the peak of the methane response rather than a return toward the intact baseline (Supplementary Text S6). Rates were also setting-dependent: a ghost site in the Ten Thousand Islands emitted an order of magnitude less than the Everglades ghost sites, whereas an additional intact site matched the core intact class (Supplementary Text S8).</w:t>
      </w:r>
    </w:p>
    <w:p>
      <w:pPr>
        <w:pStyle w:val="BodyText"/>
      </w:pPr>
      <w:r>
        <w:t xml:space="preserve">Two independent measurements check these budgets. Airborne eddy covariance, disaggregated to intact and ghost forest (47, 50, 51), agreed with the chamber budgets within uncertainty in both seasons. It ranked ghost above intact methane in the wet season (airborne 51 ± 27 vs 29 ± 16 nmol m−2 s−1; chambers 36 vs 4) and matched net CO2 exchange in sign and magnitude (Fig. 3, C, E and F). Bottom-up intact CO2 uptake (−1,025 g C m−2 yr−1) matched the long-term tower estimate for the same forest (−1,170 ± 127) (52) (Fig. 3D). Chambers scaled by laser-scanned area and footprint-disaggregated airborne fluxes share no measurements, so their agreement does not depend on any one method’s assumptions.</w:t>
      </w:r>
      <w:r>
        <w:t xml:space="preserve"> </w:t>
      </w:r>
      <w:r>
        <w:rPr>
          <w:i/>
          <w:iCs/>
        </w:rPr>
        <w:t xml:space="preserve">[PLACEHOLDER — July 2024 airborne deployment (E. Delaria): one sentence on whether the intact–ghost contrast holds in the summer wet season, which our chamber campaigns did not sample. Fig. 3C.]</w:t>
      </w:r>
    </w:p>
    <w:p>
      <w:pPr>
        <w:pStyle w:val="BodyText"/>
      </w:pPr>
      <w:r>
        <w:drawing>
          <wp:inline>
            <wp:extent cx="5334000" cy="5926666"/>
            <wp:effectExtent b="0" l="0" r="0" t="0"/>
            <wp:docPr descr="" title="" id="18" name="Picture"/>
            <a:graphic>
              <a:graphicData uri="http://schemas.openxmlformats.org/drawingml/2006/picture">
                <pic:pic>
                  <pic:nvPicPr>
                    <pic:cNvPr descr="output/figures/main/Fig3_stands.png" id="19" name="Picture"/>
                    <pic:cNvPicPr>
                      <a:picLocks noChangeArrowheads="1" noChangeAspect="1"/>
                    </pic:cNvPicPr>
                  </pic:nvPicPr>
                  <pic:blipFill>
                    <a:blip r:embed="rId17"/>
                    <a:stretch>
                      <a:fillRect/>
                    </a:stretch>
                  </pic:blipFill>
                  <pic:spPr bwMode="auto">
                    <a:xfrm>
                      <a:off x="0" y="0"/>
                      <a:ext cx="5334000" cy="5926666"/>
                    </a:xfrm>
                    <a:prstGeom prst="rect">
                      <a:avLst/>
                    </a:prstGeom>
                    <a:noFill/>
                    <a:ln w="9525">
                      <a:noFill/>
                      <a:headEnd/>
                      <a:tailEnd/>
                    </a:ln>
                  </pic:spPr>
                </pic:pic>
              </a:graphicData>
            </a:graphic>
          </wp:inline>
        </w:drawing>
      </w:r>
    </w:p>
    <w:p>
      <w:pPr>
        <w:pStyle w:val="BodyText"/>
      </w:pPr>
      <w:r>
        <w:rPr>
          <w:b/>
          <w:bCs/>
        </w:rPr>
        <w:t xml:space="preserve">Fig. 3. Stand budgets and independent closure.</w:t>
      </w:r>
      <w:r>
        <w:t xml:space="preserve"> </w:t>
      </w:r>
      <w:r>
        <w:t xml:space="preserve">Share of stand (</w:t>
      </w:r>
      <w:r>
        <w:rPr>
          <w:b/>
          <w:bCs/>
        </w:rPr>
        <w:t xml:space="preserve">A</w:t>
      </w:r>
      <w:r>
        <w:t xml:space="preserve">) CH4 and (</w:t>
      </w:r>
      <w:r>
        <w:rPr>
          <w:b/>
          <w:bCs/>
        </w:rPr>
        <w:t xml:space="preserve">B</w:t>
      </w:r>
      <w:r>
        <w:t xml:space="preserve">) respiration by component and campaign. (</w:t>
      </w:r>
      <w:r>
        <w:rPr>
          <w:b/>
          <w:bCs/>
        </w:rPr>
        <w:t xml:space="preserve">C</w:t>
      </w:r>
      <w:r>
        <w:t xml:space="preserve">) Airborne CH4 and midday CO2 for intact and ghost forest by deployment</w:t>
      </w:r>
      <w:r>
        <w:t xml:space="preserve"> </w:t>
      </w:r>
      <w:r>
        <w:rPr>
          <w:i/>
          <w:iCs/>
        </w:rPr>
        <w:t xml:space="preserve">[July 2024 pending]</w:t>
      </w:r>
      <w:r>
        <w:t xml:space="preserve">. (</w:t>
      </w:r>
      <w:r>
        <w:rPr>
          <w:b/>
          <w:bCs/>
        </w:rPr>
        <w:t xml:space="preserve">D</w:t>
      </w:r>
      <w:r>
        <w:t xml:space="preserve">) Annual stand CH4 and net CO2 exchange (Monte Carlo 95% intervals) with the tower estimate (52). Stand (</w:t>
      </w:r>
      <w:r>
        <w:rPr>
          <w:b/>
          <w:bCs/>
        </w:rPr>
        <w:t xml:space="preserve">E</w:t>
      </w:r>
      <w:r>
        <w:t xml:space="preserve">) CH4 and (</w:t>
      </w:r>
      <w:r>
        <w:rPr>
          <w:b/>
          <w:bCs/>
        </w:rPr>
        <w:t xml:space="preserve">F</w:t>
      </w:r>
      <w:r>
        <w:t xml:space="preserve">) CO2 by campaign, stacked by component, with bottom-up totals (diamonds), airborne (triangles) and tower (squares) estimates; intervals 95%.</w:t>
      </w:r>
    </w:p>
    <w:bookmarkEnd w:id="20"/>
    <w:bookmarkStart w:id="24" w:name="a-regime-shift-and-a-redox-ladder-flip"/>
    <w:p>
      <w:pPr>
        <w:pStyle w:val="Heading3"/>
      </w:pPr>
      <w:r>
        <w:t xml:space="preserve">A regime shift and a redox ladder flip</w:t>
      </w:r>
    </w:p>
    <w:p>
      <w:pPr>
        <w:pStyle w:val="FirstParagraph"/>
      </w:pPr>
      <w:r>
        <w:t xml:space="preserve">Porewater chemistry separated the forest classes (Fig. 4). The first principal component (43% of variance) contrasted salty, sulfate-rich, reduced, high-methane and high-ammonium ghost-forest porewater with oxidized intact-forest porewater. The second (24%) picked out the high dissolved organic carbon and alkalinity of the regenerating site (Fig. 4A). Ammonium at the ghost site (200–320 μM) exceeded 24 years of monitoring at the intact sites by more than an order of magnitude, a level matched in that record only after Irma (table S11), consistent with decomposing roots and the loss of root uptake.</w:t>
      </w:r>
    </w:p>
    <w:p>
      <w:pPr>
        <w:pStyle w:val="BodyText"/>
      </w:pPr>
      <w:r>
        <w:t xml:space="preserve">The relationship between salinity and methane reversed (Fig. 4B). Across three porewater rounds, methane fell with salinity in intact and regenerating forest (r = −0.48), as expected where sulfate reduction suppresses methanogenesis, but rose with salinity in ghost forest (r = 0.60, p = 0.03). Ghost-forest porewater methane swung from 4 to 62 μM between seasons at nearly constant salinity (50–63 PSU), which salinity cannot explain. Ghost-forest porewater held seawater-level sulfate (~30 mM) alongside the highest dissolved methane, and alkalinity of 11–33 mM, five to fifteen times seawater, showed that sulfate reduction remained active everywhere (Fig. 4C). Methane therefore accumulated alongside sulfate reduction, not after it, as expected if methanogens use substrates sulfate reducers do not compete for, such as methylamines from the breakdown of osmolytes in dead roots (25, 26, 53, 54).</w:t>
      </w:r>
      <w:r>
        <w:t xml:space="preserve"> </w:t>
      </w:r>
      <w:r>
        <w:rPr>
          <w:i/>
          <w:iCs/>
        </w:rPr>
        <w:t xml:space="preserve">[PLACEHOLDER — metagenomes (Peccia lab): whether methylotrophic methanogens (mttB/mtbB/mtmB, Methanosarcinaceae) dominate the mcrA pool at the ghost site, normalized per gram of sediment and organic carbon, and whether methane oxidizers (pmoA) decline; Fig. 4, D to F.]</w:t>
      </w:r>
      <w:r>
        <w:t xml:space="preserve"> </w:t>
      </w:r>
      <w:r>
        <w:t xml:space="preserve">Mortality thus inverts the redox expectation that governs methane in intact saline mangrove.</w:t>
      </w:r>
    </w:p>
    <w:p>
      <w:pPr>
        <w:pStyle w:val="BodyText"/>
      </w:pPr>
      <w:r>
        <w:drawing>
          <wp:inline>
            <wp:extent cx="5334000" cy="6223000"/>
            <wp:effectExtent b="0" l="0" r="0" t="0"/>
            <wp:docPr descr="" title="" id="22" name="Picture"/>
            <a:graphic>
              <a:graphicData uri="http://schemas.openxmlformats.org/drawingml/2006/picture">
                <pic:pic>
                  <pic:nvPicPr>
                    <pic:cNvPr descr="output/figures/main/Fig4_geochemistry.png" id="23" name="Picture"/>
                    <pic:cNvPicPr>
                      <a:picLocks noChangeArrowheads="1" noChangeAspect="1"/>
                    </pic:cNvPicPr>
                  </pic:nvPicPr>
                  <pic:blipFill>
                    <a:blip r:embed="rId21"/>
                    <a:stretch>
                      <a:fillRect/>
                    </a:stretch>
                  </pic:blipFill>
                  <pic:spPr bwMode="auto">
                    <a:xfrm>
                      <a:off x="0" y="0"/>
                      <a:ext cx="5334000" cy="6223000"/>
                    </a:xfrm>
                    <a:prstGeom prst="rect">
                      <a:avLst/>
                    </a:prstGeom>
                    <a:noFill/>
                    <a:ln w="9525">
                      <a:noFill/>
                      <a:headEnd/>
                      <a:tailEnd/>
                    </a:ln>
                  </pic:spPr>
                </pic:pic>
              </a:graphicData>
            </a:graphic>
          </wp:inline>
        </w:drawing>
      </w:r>
    </w:p>
    <w:p>
      <w:pPr>
        <w:pStyle w:val="BodyText"/>
      </w:pPr>
      <w:r>
        <w:rPr>
          <w:b/>
          <w:bCs/>
        </w:rPr>
        <w:t xml:space="preserve">Fig. 4. A geochemical regime shift.</w:t>
      </w:r>
      <w:r>
        <w:t xml:space="preserve"> </w:t>
      </w:r>
      <w:r>
        <w:t xml:space="preserve">(</w:t>
      </w:r>
      <w:r>
        <w:rPr>
          <w:b/>
          <w:bCs/>
        </w:rPr>
        <w:t xml:space="preserve">A</w:t>
      </w:r>
      <w:r>
        <w:t xml:space="preserve">) Principal components of porewater chemistry (October 2025; 13 variables); ellipses, 68% class ellipses; arrows, loadings, CH4 in red. (</w:t>
      </w:r>
      <w:r>
        <w:rPr>
          <w:b/>
          <w:bCs/>
        </w:rPr>
        <w:t xml:space="preserve">B</w:t>
      </w:r>
      <w:r>
        <w:t xml:space="preserve">) Porewater salinity versus dissolved CH4 across three sampling rounds with class regressions. (</w:t>
      </w:r>
      <w:r>
        <w:rPr>
          <w:b/>
          <w:bCs/>
        </w:rPr>
        <w:t xml:space="preserve">C</w:t>
      </w:r>
      <w:r>
        <w:t xml:space="preserve">) Depth profiles, grouped by the principal component each variable loads on. (</w:t>
      </w:r>
      <w:r>
        <w:rPr>
          <w:b/>
          <w:bCs/>
        </w:rPr>
        <w:t xml:space="preserve">D</w:t>
      </w:r>
      <w:r>
        <w:t xml:space="preserve"> </w:t>
      </w:r>
      <w:r>
        <w:t xml:space="preserve">to</w:t>
      </w:r>
      <w:r>
        <w:t xml:space="preserve"> </w:t>
      </w:r>
      <w:r>
        <w:rPr>
          <w:b/>
          <w:bCs/>
        </w:rPr>
        <w:t xml:space="preserve">F</w:t>
      </w:r>
      <w:r>
        <w:t xml:space="preserve">)</w:t>
      </w:r>
      <w:r>
        <w:t xml:space="preserve"> </w:t>
      </w:r>
      <w:r>
        <w:rPr>
          <w:i/>
          <w:iCs/>
        </w:rPr>
        <w:t xml:space="preserve">[PLACEHOLDER — sediment metagenomes: marker genes per gram of sediment; methanogen pathway composition; mcrA versus porewater CH4.]</w:t>
      </w:r>
    </w:p>
    <w:bookmarkEnd w:id="24"/>
    <w:bookmarkStart w:id="28" w:name="a-blue-carbon-sink-becomes-a-source"/>
    <w:p>
      <w:pPr>
        <w:pStyle w:val="Heading3"/>
      </w:pPr>
      <w:r>
        <w:t xml:space="preserve">A blue carbon sink becomes a source</w:t>
      </w:r>
    </w:p>
    <w:p>
      <w:pPr>
        <w:pStyle w:val="FirstParagraph"/>
      </w:pPr>
      <w:r>
        <w:t xml:space="preserve">Intact forest was a strong net sink. Its net CO2 uptake (−3,755 g CO2 m−2 yr−1) dwarfed its methane emission (+121 g CO2-eq at GWP20), which offset 3% of it (Fig. 5A). Ghost forest was a net source (+2,775 g CO2-eq m−2 yr−1 at GWP20; +2,141 at GWP100). Losing the canopy turned its CO2 balance positive, and methane supplied 35% of its warming at GWP20 (16% at GWP100; 42% with the flow-based GWP* (55)). Mortality therefore switched the radiative balance by ~6,400 g CO2-eq m−2 yr−1 at GWP20 (~5,800 at GWP100). Most of that switch is lost CO2 uptake; methane is what turns the lost sink into a source. Monte Carlo intervals for the two states did not overlap (intact −5,233 to −1,939; ghost +1,922 to +3,978 g CO2-eq m−2 yr−1).</w:t>
      </w:r>
    </w:p>
    <w:p>
      <w:pPr>
        <w:pStyle w:val="BodyText"/>
      </w:pPr>
      <w:r>
        <w:t xml:space="preserve">The switch is robust to how the intact sink is defined. Mangroves export part of their fixed carbon to tidal waters (56, 57), so the carbon an intact forest retains is smaller than its net CO2 uptake. Counting exported alkalinity as a durable ocean store (58, 59) and the rest as returned to the atmosphere, using a Shark River synthesis of lateral export (60), the intact sink shrinks to ~−2,700 g CO2-eq m−2 yr−1 and the switch remains ~5,500 (fig. S14; text S10). Across all other analytical choices we tested (flooding, temperature scaling, downed wood, canopy respiration and the tidal and daily timing of methane), the switch stayed between ~5,600 and ~8,000 (table S10).</w:t>
      </w:r>
    </w:p>
    <w:p>
      <w:pPr>
        <w:pStyle w:val="BodyText"/>
      </w:pPr>
      <w:r>
        <w:t xml:space="preserve">Scaled across the Caribbean, the switch is large. In a Landsat map of 2017 hurricane damage (61), 173 km2 of mangrove showed little recovery, 95% of it after Irma, mainly in northern Cuba and south Florida (Fig. 5C). At the measured per-area switch, this loss adds ~1.1 Tg CO2-eq yr−1 at GWP20 (0.7–1.6; 1.0 at GWP100), including 1.8 Gg CH4 yr−1 of induced methane (Fig. 5B). Our ghost sites showed no canopy recovery five to six years after landfall, so this forcing recurs each year until stands recover. The estimate is conservative. The map captures only 60 of the 108 km2 of post-Irma dieback in Florida (36), and it omits peat collapse after root death (62) and the lateral losses of ghost forest.</w:t>
      </w:r>
      <w:r>
        <w:t xml:space="preserve"> </w:t>
      </w:r>
      <w:r>
        <w:rPr>
          <w:i/>
          <w:iCs/>
        </w:rPr>
        <w:t xml:space="preserve">[OPTIONAL PLACEHOLDER — global extension: apply the per-area switch to cyclone-driven mangrove mortality worldwide (global loss products × storm tracks), with bounds.]</w:t>
      </w:r>
    </w:p>
    <w:p>
      <w:pPr>
        <w:pStyle w:val="BodyText"/>
      </w:pPr>
      <w:r>
        <w:drawing>
          <wp:inline>
            <wp:extent cx="5334000" cy="5111750"/>
            <wp:effectExtent b="0" l="0" r="0" t="0"/>
            <wp:docPr descr="" title="" id="26" name="Picture"/>
            <a:graphic>
              <a:graphicData uri="http://schemas.openxmlformats.org/drawingml/2006/picture">
                <pic:pic>
                  <pic:nvPicPr>
                    <pic:cNvPr descr="output/figures/main/Fig5_climate.png" id="27" name="Picture"/>
                    <pic:cNvPicPr>
                      <a:picLocks noChangeArrowheads="1" noChangeAspect="1"/>
                    </pic:cNvPicPr>
                  </pic:nvPicPr>
                  <pic:blipFill>
                    <a:blip r:embed="rId25"/>
                    <a:stretch>
                      <a:fillRect/>
                    </a:stretch>
                  </pic:blipFill>
                  <pic:spPr bwMode="auto">
                    <a:xfrm>
                      <a:off x="0" y="0"/>
                      <a:ext cx="5334000" cy="5111750"/>
                    </a:xfrm>
                    <a:prstGeom prst="rect">
                      <a:avLst/>
                    </a:prstGeom>
                    <a:noFill/>
                    <a:ln w="9525">
                      <a:noFill/>
                      <a:headEnd/>
                      <a:tailEnd/>
                    </a:ln>
                  </pic:spPr>
                </pic:pic>
              </a:graphicData>
            </a:graphic>
          </wp:inline>
        </w:drawing>
      </w:r>
    </w:p>
    <w:p>
      <w:pPr>
        <w:pStyle w:val="BodyText"/>
      </w:pPr>
      <w:r>
        <w:rPr>
          <w:b/>
          <w:bCs/>
        </w:rPr>
        <w:t xml:space="preserve">Fig. 5. Climate consequence.</w:t>
      </w:r>
      <w:r>
        <w:t xml:space="preserve"> </w:t>
      </w:r>
      <w:r>
        <w:t xml:space="preserve">(</w:t>
      </w:r>
      <w:r>
        <w:rPr>
          <w:b/>
          <w:bCs/>
        </w:rPr>
        <w:t xml:space="preserve">A</w:t>
      </w:r>
      <w:r>
        <w:t xml:space="preserve">) Net forcing of intact and ghost forest at GWP20, GWP100 and GWP*, stacked by CO2 and CH4; diamonds, net with Monte Carlo 95% intervals; circles, intact net ecosystem carbon balance including lateral export. (</w:t>
      </w:r>
      <w:r>
        <w:rPr>
          <w:b/>
          <w:bCs/>
        </w:rPr>
        <w:t xml:space="preserve">B</w:t>
      </w:r>
      <w:r>
        <w:t xml:space="preserve">) The intact-to-ghost switch per m2, split into CO2 and CH4, with the CH4 share and the regional total. (</w:t>
      </w:r>
      <w:r>
        <w:rPr>
          <w:b/>
          <w:bCs/>
        </w:rPr>
        <w:t xml:space="preserve">C</w:t>
      </w:r>
      <w:r>
        <w:t xml:space="preserve">) Induced CH4 from 2017 hurricane dieback (61) per 0.25° cell, with the tracks of Irma and Maria.</w:t>
      </w:r>
    </w:p>
    <w:bookmarkEnd w:id="28"/>
    <w:bookmarkStart w:id="29" w:name="from-hurricanes-to-climate-feedbacks"/>
    <w:p>
      <w:pPr>
        <w:pStyle w:val="Heading3"/>
      </w:pPr>
      <w:r>
        <w:t xml:space="preserve">From hurricanes to climate feedbacks</w:t>
      </w:r>
    </w:p>
    <w:p>
      <w:pPr>
        <w:pStyle w:val="FirstParagraph"/>
      </w:pPr>
      <w:r>
        <w:t xml:space="preserve">Two revisions follow for mangrove methane accounting: a non-zero baseline for intact saline forest, and an explicit dependence on disturbance state. Hypersaline ghost forest (50–64 PSU) emitted eight times more methane than intact forest, the opposite of what salinity thresholds predict (17, 18). Mortality also changes where methane escapes, from sediment and roots to ponded water, so emission factors built from soil chambers in intact forest will miss most of the disturbed-forest flux. The response spans a wide range across settings and may peak during regeneration, so disturbed mangroves need their own measured factors rather than a single multiplier.</w:t>
      </w:r>
    </w:p>
    <w:p>
      <w:pPr>
        <w:pStyle w:val="BodyText"/>
      </w:pPr>
      <w:r>
        <w:t xml:space="preserve">Trees are part of this picture but not in the way recent global estimates suggest. Stems behaved as conduits rather than sources: emission peaked where bark meets the water and fell with height, consistent with sediment gas moving up through aerenchyma and lenticels (23), and it persisted in standing dead stems (63), which lose active root-driven transport but keep a passive pathway and a decomposing source. Per-area stem emission in ghost forest was ~40 times that of intact forest, matching the eightfold rise in dead mangrove stems elsewhere (19) in direction if not magnitude, yet stems stayed below 1% of both stand budgets because little bark sits near the water line. Per-area rates and stand contributions must therefore be kept distinct, and stem fluxes scaled by measured bark area and height rather than extrapolated from soil fluxes (9, 48).</w:t>
      </w:r>
    </w:p>
    <w:p>
      <w:pPr>
        <w:pStyle w:val="BodyText"/>
      </w:pPr>
      <w:r>
        <w:t xml:space="preserve">Closing the budget in this way also identifies what is still missing. Agreement between chambers and aircraft was within uncertainty, not exact: intact-forest methane from the aircraft in the wet season exceeded the chamber budget, which samples near slack water and in daylight, so tidal pulses, night-time emission and lateral transport of dissolved methane are the most likely unmeasured terms. These are the priorities for closing mangrove methane budgets elsewhere, and the combination used here, component chambers scaled by measured structure and checked against airborne fluxes, offers a template for other blue-carbon and disturbed ecosystems.</w:t>
      </w:r>
    </w:p>
    <w:p>
      <w:pPr>
        <w:pStyle w:val="BodyText"/>
      </w:pPr>
      <w:r>
        <w:t xml:space="preserve">Hurricane mortality is therefore a positive climate feedback that current accounting omits. The area we scaled reflects essentially one storm season in one region, a small fraction of the cyclone-exposed mangrove coast worldwide (64, 65), and the proportion of intense cyclones is projected to rise (41). Because recovery restores the sink, the feedback strengthens the case for conserving intact mangrove and restoring damaged stands. Where impounded, hypersaline water persists, as at our ghost sites, restoring tidal exchange may favour recruitment (66). But the regenerating stand still emitted as much methane as ghost forest, so the methane benefit of restoration should be measured rather than assumed. Blue-carbon crediting should carry both an accurate methane baseline and a permanence-risk term for disturbance (67, 68).</w:t>
      </w:r>
    </w:p>
    <w:p>
      <w:pPr>
        <w:pStyle w:val="BodyText"/>
      </w:pPr>
      <w:r>
        <w:t xml:space="preserve">Our conclusions are bounded by a space-for-time gradient, two chamber campaigns that miss diurnal, tidal and summer variation, literature-based lateral export and burial, and a regenerating class without TLS or airborne closure (supplementary text). None changes the direction or robustness of the switch. Measuring every pathway, scaling by measured structure and checking against airborne fluxes shows that a hurricane-killed mangrove is not a diminished sink but a methane-amplified source.</w:t>
      </w:r>
    </w:p>
    <w:p>
      <w:pPr>
        <w:pStyle w:val="BodyText"/>
      </w:pPr>
      <w:r>
        <w:rPr>
          <w:i/>
          <w:iCs/>
        </w:rPr>
        <w:t xml:space="preserve">[Main-text word count: see build output]</w:t>
      </w:r>
    </w:p>
    <w:p>
      <w:r>
        <w:pict>
          <v:rect style="width:0;height:1.5pt" o:hralign="center" o:hrstd="t" o:hr="t"/>
        </w:pict>
      </w:r>
    </w:p>
    <w:p>
      <w:r>
        <w:pict>
          <v:rect style="width:0;height:1.5pt" o:hralign="center" o:hrstd="t" o:hr="t"/>
        </w:pict>
      </w:r>
    </w:p>
    <w:bookmarkEnd w:id="29"/>
    <w:bookmarkEnd w:id="30"/>
    <w:bookmarkStart w:id="31" w:name="references-and-notes"/>
    <w:p>
      <w:pPr>
        <w:pStyle w:val="Heading2"/>
      </w:pPr>
      <w:r>
        <w:t xml:space="preserve">References and Notes</w:t>
      </w:r>
    </w:p>
    <w:p>
      <w:pPr>
        <w:pStyle w:val="Compact"/>
        <w:numPr>
          <w:ilvl w:val="0"/>
          <w:numId w:val="1001"/>
        </w:numPr>
      </w:pPr>
      <w:r>
        <w:t xml:space="preserve">Bunting, P. et al. Global Mangrove Extent Change 1996–2020: Global Mangrove Watch Version 3.0. Remote Sens. 14, 3657 (2022). https://doi.org/10.3390/rs14153657</w:t>
      </w:r>
    </w:p>
    <w:p>
      <w:pPr>
        <w:pStyle w:val="Compact"/>
        <w:numPr>
          <w:ilvl w:val="0"/>
          <w:numId w:val="1001"/>
        </w:numPr>
      </w:pPr>
      <w:r>
        <w:t xml:space="preserve">Rovai, A. S. et al. Global controls on carbon storage in mangrove soils. Nat. Clim. Change 8, 534–538 (2018). https://doi.org/10.1038/s41558-018-0162-5</w:t>
      </w:r>
    </w:p>
    <w:p>
      <w:pPr>
        <w:pStyle w:val="Compact"/>
        <w:numPr>
          <w:ilvl w:val="0"/>
          <w:numId w:val="1001"/>
        </w:numPr>
      </w:pPr>
      <w:r>
        <w:t xml:space="preserve">Kauffman, J. B. et al. Total ecosystem carbon stocks of mangroves across broad global environmental and physical gradients. Ecol. Monogr. 90, e01405 (2020). https://doi.org/10.1002/ecm.1405</w:t>
      </w:r>
    </w:p>
    <w:p>
      <w:pPr>
        <w:pStyle w:val="Compact"/>
        <w:numPr>
          <w:ilvl w:val="0"/>
          <w:numId w:val="1001"/>
        </w:numPr>
      </w:pPr>
      <w:r>
        <w:t xml:space="preserve">Breithaupt, J. L. &amp; Steinmuller, H. E. Refining the global estimate of mangrove carbon burial rates using sedimentary and geomorphic settings. Geophys. Res. Lett. 49, e2022GL100177 (2022). https://doi.org/10.1029/2022gl100177</w:t>
      </w:r>
    </w:p>
    <w:p>
      <w:pPr>
        <w:pStyle w:val="Compact"/>
        <w:numPr>
          <w:ilvl w:val="0"/>
          <w:numId w:val="1001"/>
        </w:numPr>
      </w:pPr>
      <w:r>
        <w:t xml:space="preserve">Macreadie, P. I. et al. Blue carbon as a natural climate solution. Nat. Rev. Earth Environ. 2, 826–839 (2021). https://doi.org/10.1038/s43017-021-00224-1</w:t>
      </w:r>
    </w:p>
    <w:p>
      <w:pPr>
        <w:pStyle w:val="Compact"/>
        <w:numPr>
          <w:ilvl w:val="0"/>
          <w:numId w:val="1001"/>
        </w:numPr>
      </w:pPr>
      <w:r>
        <w:t xml:space="preserve">Macreadie, P. I. et al. The future of Blue Carbon science. Nat. Commun. 10, 3998 (2019). https://doi.org/10.1038/s41467-019-11693-w</w:t>
      </w:r>
    </w:p>
    <w:p>
      <w:pPr>
        <w:pStyle w:val="Compact"/>
        <w:numPr>
          <w:ilvl w:val="0"/>
          <w:numId w:val="1001"/>
        </w:numPr>
      </w:pPr>
      <w:r>
        <w:t xml:space="preserve">Forster, P. et al. The Earth’s energy budget, climate feedbacks, and climate sensitivity. In Climate Change 2021: The Physical Science Basis. Contribution of Working Group I to the Sixth Assessment Report of the IPCC, Ch. 7, 923–1054 (Cambridge Univ. Press, 2021).</w:t>
      </w:r>
    </w:p>
    <w:p>
      <w:pPr>
        <w:pStyle w:val="Compact"/>
        <w:numPr>
          <w:ilvl w:val="0"/>
          <w:numId w:val="1001"/>
        </w:numPr>
      </w:pPr>
      <w:r>
        <w:t xml:space="preserve">Rosentreter, J. A., Maher, D. T., Erler, D. V., Murray, R. H. &amp; Eyre, B. D. Methane emissions partially offset</w:t>
      </w:r>
      <w:r>
        <w:t xml:space="preserve"> </w:t>
      </w:r>
      <w:r>
        <w:t xml:space="preserve">“blue carbon”</w:t>
      </w:r>
      <w:r>
        <w:t xml:space="preserve"> </w:t>
      </w:r>
      <w:r>
        <w:t xml:space="preserve">burial in mangroves. Sci. Adv. 4, eaao4985 (2018). https://doi.org/10.1126/sciadv.aao4985</w:t>
      </w:r>
    </w:p>
    <w:p>
      <w:pPr>
        <w:pStyle w:val="Compact"/>
        <w:numPr>
          <w:ilvl w:val="0"/>
          <w:numId w:val="1001"/>
        </w:numPr>
      </w:pPr>
      <w:r>
        <w:t xml:space="preserve">Qin, G. et al. Mangrove sediment carbon burial offset by methane emissions from mangrove tree stems. Nat. Geosci. 18, 1224–1231 (2025). https://doi.org/10.1038/s41561-025-01848-4</w:t>
      </w:r>
    </w:p>
    <w:p>
      <w:pPr>
        <w:pStyle w:val="Compact"/>
        <w:numPr>
          <w:ilvl w:val="0"/>
          <w:numId w:val="1001"/>
        </w:numPr>
      </w:pPr>
      <w:r>
        <w:t xml:space="preserve">Burdige, D. J. Estuarine and coastal sediments – coupled biogeochemical cycling. In Treatise on Estuarine and Coastal Science, 279–316 (2012).</w:t>
      </w:r>
    </w:p>
    <w:p>
      <w:pPr>
        <w:pStyle w:val="Compact"/>
        <w:numPr>
          <w:ilvl w:val="0"/>
          <w:numId w:val="1001"/>
        </w:numPr>
      </w:pPr>
      <w:r>
        <w:t xml:space="preserve">Martens, C. S. &amp; Berner, R. A. Methane production in the interstitial waters of sulfate-depleted marine sediments. Science 185, 1167–1169 (1974).</w:t>
      </w:r>
    </w:p>
    <w:p>
      <w:pPr>
        <w:pStyle w:val="Compact"/>
        <w:numPr>
          <w:ilvl w:val="0"/>
          <w:numId w:val="1001"/>
        </w:numPr>
      </w:pPr>
      <w:r>
        <w:t xml:space="preserve">Weston, N. B., Dixon, R. E. &amp; Joye, S. B. Ramifications of increased salinity in tidal freshwater sediments: geochemistry and microbial pathways of organic matter mineralization. J. Geophys. Res. Biogeosci. 111, G01009 (2006). https://doi.org/10.1029/2005jg000071</w:t>
      </w:r>
    </w:p>
    <w:p>
      <w:pPr>
        <w:pStyle w:val="Compact"/>
        <w:numPr>
          <w:ilvl w:val="0"/>
          <w:numId w:val="1001"/>
        </w:numPr>
      </w:pPr>
      <w:r>
        <w:t xml:space="preserve">Cotovicz, L. C. et al. Methane oxidation minimizes emissions and offsets to carbon burial in mangroves. Nat. Clim. Change 14, 275–281 (2024). https://doi.org/10.1038/s41558-024-01927-1</w:t>
      </w:r>
    </w:p>
    <w:p>
      <w:pPr>
        <w:pStyle w:val="Compact"/>
        <w:numPr>
          <w:ilvl w:val="0"/>
          <w:numId w:val="1001"/>
        </w:numPr>
      </w:pPr>
      <w:r>
        <w:t xml:space="preserve">Bartlett, K. B., Bartlett, D. S., Harriss, R. C. &amp; Sebacher, D. I. Methane emissions along a salt marsh salinity gradient. Biogeochemistry 4, 183–202 (1987).</w:t>
      </w:r>
    </w:p>
    <w:p>
      <w:pPr>
        <w:pStyle w:val="Compact"/>
        <w:numPr>
          <w:ilvl w:val="0"/>
          <w:numId w:val="1001"/>
        </w:numPr>
      </w:pPr>
      <w:r>
        <w:t xml:space="preserve">Poffenbarger, H. J., Needelman, B. A. &amp; Megonigal, J. P. Salinity influence on methane emissions from tidal marshes. Wetlands 31, 831–842 (2011). https://doi.org/10.1007/s13157-011-0197-0</w:t>
      </w:r>
    </w:p>
    <w:p>
      <w:pPr>
        <w:pStyle w:val="Compact"/>
        <w:numPr>
          <w:ilvl w:val="0"/>
          <w:numId w:val="1001"/>
        </w:numPr>
      </w:pPr>
      <w:r>
        <w:t xml:space="preserve">Al-Haj, A. N. &amp; Fulweiler, R. W. A synthesis of methane emissions from shallow vegetated coastal ecosystems. Glob. Change Biol. 26, 2988–3005 (2020). https://doi.org/10.1111/gcb.15046</w:t>
      </w:r>
    </w:p>
    <w:p>
      <w:pPr>
        <w:pStyle w:val="Compact"/>
        <w:numPr>
          <w:ilvl w:val="0"/>
          <w:numId w:val="1001"/>
        </w:numPr>
      </w:pPr>
      <w:r>
        <w:t xml:space="preserve">IPCC. 2013 Supplement to the 2006 IPCC Guidelines for National Greenhouse Gas Inventories: Wetlands (IPCC, Switzerland, 2014).</w:t>
      </w:r>
    </w:p>
    <w:p>
      <w:pPr>
        <w:pStyle w:val="Compact"/>
        <w:numPr>
          <w:ilvl w:val="0"/>
          <w:numId w:val="1001"/>
        </w:numPr>
      </w:pPr>
      <w:r>
        <w:t xml:space="preserve">Verra. VM0033 Methodology for Tidal Wetland and Seagrass Restoration, v2.1 (Verified Carbon Standard, 2023).</w:t>
      </w:r>
    </w:p>
    <w:p>
      <w:pPr>
        <w:pStyle w:val="Compact"/>
        <w:numPr>
          <w:ilvl w:val="0"/>
          <w:numId w:val="1001"/>
        </w:numPr>
      </w:pPr>
      <w:r>
        <w:t xml:space="preserve">Jeffrey, L. C. et al. Are methane emissions from mangrove stems a cryptic carbon loss pathway? Insights from a catastrophic forest mortality. New Phytol. 224, 146–154 (2019). https://doi.org/10.1111/nph.15995</w:t>
      </w:r>
    </w:p>
    <w:p>
      <w:pPr>
        <w:pStyle w:val="Compact"/>
        <w:numPr>
          <w:ilvl w:val="0"/>
          <w:numId w:val="1001"/>
        </w:numPr>
      </w:pPr>
      <w:r>
        <w:t xml:space="preserve">Rosentreter, J. A. et al. Half of global methane emissions come from highly variable aquatic ecosystem sources. Nat. Geosci. 14, 225–230 (2021). https://doi.org/10.1038/s41561-021-00715-2</w:t>
      </w:r>
    </w:p>
    <w:p>
      <w:pPr>
        <w:pStyle w:val="Compact"/>
        <w:numPr>
          <w:ilvl w:val="0"/>
          <w:numId w:val="1001"/>
        </w:numPr>
      </w:pPr>
      <w:r>
        <w:t xml:space="preserve">Call, M. et al. Spatial and temporal variability of carbon dioxide and methane fluxes over semi-diurnal and spring–neap–spring timescales in a mangrove creek. Geochim. Cosmochim. Acta 150, 211–225 (2015). https://doi.org/10.1016/j.gca.2014.11.023</w:t>
      </w:r>
    </w:p>
    <w:p>
      <w:pPr>
        <w:pStyle w:val="Compact"/>
        <w:numPr>
          <w:ilvl w:val="0"/>
          <w:numId w:val="1001"/>
        </w:numPr>
      </w:pPr>
      <w:r>
        <w:t xml:space="preserve">Pangala, S. R. et al. Large emissions from floodplain trees close the Amazon methane budget. Nature 552, 230–234 (2017). https://doi.org/10.1038/nature24639</w:t>
      </w:r>
    </w:p>
    <w:p>
      <w:pPr>
        <w:pStyle w:val="Compact"/>
        <w:numPr>
          <w:ilvl w:val="0"/>
          <w:numId w:val="1001"/>
        </w:numPr>
      </w:pPr>
      <w:r>
        <w:t xml:space="preserve">Barba, J. et al. Methane emissions from tree stems: a new frontier in the global carbon cycle. New Phytol. 222, 18–28 (2019). https://doi.org/10.1111/nph.15582</w:t>
      </w:r>
    </w:p>
    <w:p>
      <w:pPr>
        <w:pStyle w:val="Compact"/>
        <w:numPr>
          <w:ilvl w:val="0"/>
          <w:numId w:val="1001"/>
        </w:numPr>
      </w:pPr>
      <w:r>
        <w:t xml:space="preserve">Gauci, V. et al. Global atmospheric methane uptake by upland tree woody surfaces. Nature 631, 796–800 (2024). https://doi.org/10.1038/s41586-024-07592-w</w:t>
      </w:r>
    </w:p>
    <w:p>
      <w:pPr>
        <w:pStyle w:val="Compact"/>
        <w:numPr>
          <w:ilvl w:val="0"/>
          <w:numId w:val="1001"/>
        </w:numPr>
      </w:pPr>
      <w:r>
        <w:t xml:space="preserve">Oremland, R. S. &amp; Polcin, S. Methanogenesis and sulfate reduction: competitive and noncompetitive substrates in estuarine sediments. Appl. Environ. Microbiol. 44, 1270–1276 (1982). https://doi.org/10.1128/aem.44.6.1270-1276.1982</w:t>
      </w:r>
    </w:p>
    <w:p>
      <w:pPr>
        <w:pStyle w:val="Compact"/>
        <w:numPr>
          <w:ilvl w:val="0"/>
          <w:numId w:val="1001"/>
        </w:numPr>
      </w:pPr>
      <w:r>
        <w:t xml:space="preserve">King, G. M. Metabolism of trimethylamine, choline, and glycine betaine by sulfate-reducing and methanogenic bacteria in marine sediments. Appl. Environ. Microbiol. 48, 719–725 (1984). https://doi.org/10.1128/aem.48.4.719-725.1984</w:t>
      </w:r>
    </w:p>
    <w:p>
      <w:pPr>
        <w:pStyle w:val="Compact"/>
        <w:numPr>
          <w:ilvl w:val="0"/>
          <w:numId w:val="1001"/>
        </w:numPr>
      </w:pPr>
      <w:r>
        <w:t xml:space="preserve">Zhuang, G.-C. et al. Multiple evidence for methylotrophic methanogenesis as the dominant methanogenic pathway in hypersaline sediments from the Orca Basin, Gulf of Mexico. Geochim. Cosmochim. Acta 187, 1–20 (2016). https://doi.org/10.1016/j.gca.2016.05.005</w:t>
      </w:r>
    </w:p>
    <w:p>
      <w:pPr>
        <w:pStyle w:val="Compact"/>
        <w:numPr>
          <w:ilvl w:val="0"/>
          <w:numId w:val="1001"/>
        </w:numPr>
      </w:pPr>
      <w:r>
        <w:t xml:space="preserve">Jameson, E. et al. Deltaproteobacteria (Pelobacter) and Methanococcoides are responsible for choline-dependent methanogenesis in a coastal saltmarsh sediment. ISME J. 13, 277–289 (2019). https://doi.org/10.1038/s41396-018-0269-8</w:t>
      </w:r>
    </w:p>
    <w:p>
      <w:pPr>
        <w:pStyle w:val="Compact"/>
        <w:numPr>
          <w:ilvl w:val="0"/>
          <w:numId w:val="1001"/>
        </w:numPr>
      </w:pPr>
      <w:r>
        <w:t xml:space="preserve">Narrowe, A. B. et al. Uncovering the diversity and activity of methylotrophic methanogens in freshwater wetland soils. mSystems 4, e00320-19 (2019). https://doi.org/10.1128/mSystems.00320-19</w:t>
      </w:r>
    </w:p>
    <w:p>
      <w:pPr>
        <w:pStyle w:val="Compact"/>
        <w:numPr>
          <w:ilvl w:val="0"/>
          <w:numId w:val="1001"/>
        </w:numPr>
      </w:pPr>
      <w:r>
        <w:t xml:space="preserve">Zhang, C.-J. et al. Genomic and transcriptomic insights into methanogenesis potential of novel methanogens from mangrove sediments. Microbiome 8, 94 (2020). https://doi.org/10.1186/s40168-020-00876-z</w:t>
      </w:r>
    </w:p>
    <w:p>
      <w:pPr>
        <w:pStyle w:val="Compact"/>
        <w:numPr>
          <w:ilvl w:val="0"/>
          <w:numId w:val="1001"/>
        </w:numPr>
      </w:pPr>
      <w:r>
        <w:t xml:space="preserve">Angle, J. C. et al. Methanogenesis in oxygenated soils is a substantial fraction of wetland methane emissions. Nat. Commun. 8, 1567 (2017). https://doi.org/10.1038/s41467-017-01753-4</w:t>
      </w:r>
    </w:p>
    <w:p>
      <w:pPr>
        <w:pStyle w:val="Compact"/>
        <w:numPr>
          <w:ilvl w:val="0"/>
          <w:numId w:val="1001"/>
        </w:numPr>
      </w:pPr>
      <w:r>
        <w:t xml:space="preserve">Sippo, J. Z., Lovelock, C. E., Santos, I. R., Sanders, C. J. &amp; Maher, D. T. Mangrove mortality in a changing climate: an overview. Estuar. Coast. Shelf Sci. 215, 241–249 (2018). https://doi.org/10.1016/j.ecss.2018.10.011</w:t>
      </w:r>
    </w:p>
    <w:p>
      <w:pPr>
        <w:pStyle w:val="Compact"/>
        <w:numPr>
          <w:ilvl w:val="0"/>
          <w:numId w:val="1001"/>
        </w:numPr>
      </w:pPr>
      <w:r>
        <w:t xml:space="preserve">Krauss, K. W. &amp; Osland, M. J. Tropical cyclones and the organization of mangrove forests: a review. Ann. Bot. 125, 213–234 (2020). https://doi.org/10.1093/aob/mcz161</w:t>
      </w:r>
    </w:p>
    <w:p>
      <w:pPr>
        <w:pStyle w:val="Compact"/>
        <w:numPr>
          <w:ilvl w:val="0"/>
          <w:numId w:val="1001"/>
        </w:numPr>
      </w:pPr>
      <w:r>
        <w:t xml:space="preserve">Saintilan, N. et al. Widespread retreat of coastal habitat is likely at warming levels above 1.5 °C. Nature 621, 112–119 (2023). https://doi.org/10.1038/s41586-023-06448-z</w:t>
      </w:r>
    </w:p>
    <w:p>
      <w:pPr>
        <w:pStyle w:val="Compact"/>
        <w:numPr>
          <w:ilvl w:val="0"/>
          <w:numId w:val="1001"/>
        </w:numPr>
      </w:pPr>
      <w:r>
        <w:t xml:space="preserve">Smith, T. J. III et al. Cumulative impacts of hurricanes on Florida mangrove ecosystems: sediment deposition, storm surges and vegetation. Wetlands 29, 24–34 (2009). https://doi.org/10.1672/08-40.1</w:t>
      </w:r>
    </w:p>
    <w:p>
      <w:pPr>
        <w:pStyle w:val="Compact"/>
        <w:numPr>
          <w:ilvl w:val="0"/>
          <w:numId w:val="1001"/>
        </w:numPr>
      </w:pPr>
      <w:r>
        <w:t xml:space="preserve">Lagomasino, D. et al. Storm surge and ponding explain mangrove dieback in southwest Florida following Hurricane Irma. Nat. Commun. 12, 4003 (2021). https://doi.org/10.1038/s41467-021-24253-y</w:t>
      </w:r>
    </w:p>
    <w:p>
      <w:pPr>
        <w:pStyle w:val="Compact"/>
        <w:numPr>
          <w:ilvl w:val="0"/>
          <w:numId w:val="1001"/>
        </w:numPr>
      </w:pPr>
      <w:r>
        <w:t xml:space="preserve">Radabaugh, K. R. et al. Mangrove damage, delayed mortality, and early recovery following Hurricane Irma at two landfall sites in Southwest Florida, USA. Estuar. Coasts 43, 1104–1118 (2020). https://doi.org/10.1007/s12237-019-00564-8</w:t>
      </w:r>
    </w:p>
    <w:p>
      <w:pPr>
        <w:pStyle w:val="Compact"/>
        <w:numPr>
          <w:ilvl w:val="0"/>
          <w:numId w:val="1001"/>
        </w:numPr>
      </w:pPr>
      <w:r>
        <w:t xml:space="preserve">Kirwan, M. L. &amp; Gedan, K. B. Sea-level driven land conversion and the formation of ghost forests. Nat. Clim. Change 9, 450–457 (2019). https://doi.org/10.1038/s41558-019-0488-7</w:t>
      </w:r>
    </w:p>
    <w:p>
      <w:pPr>
        <w:pStyle w:val="Compact"/>
        <w:numPr>
          <w:ilvl w:val="0"/>
          <w:numId w:val="1001"/>
        </w:numPr>
      </w:pPr>
      <w:r>
        <w:t xml:space="preserve">Rivera-Monroy, V. H. et al. Long-term demography and stem productivity of Everglades mangrove forests (Florida, USA): resistance to hurricane disturbance. For. Ecol. Manage. 440, 79–91 (2019). https://doi.org/10.1016/j.foreco.2019.02.036</w:t>
      </w:r>
    </w:p>
    <w:p>
      <w:pPr>
        <w:pStyle w:val="Compact"/>
        <w:numPr>
          <w:ilvl w:val="0"/>
          <w:numId w:val="1001"/>
        </w:numPr>
      </w:pPr>
      <w:r>
        <w:t xml:space="preserve">Yu, H., Organ, H., Xu, D. &amp; Coffin, R. Tidal control and mangrove dieback impact on methane emissions from a subtropical mangrove estuary. Limnol. Oceanogr. 68, 753–766 (2023). https://doi.org/10.1002/lno.12307</w:t>
      </w:r>
    </w:p>
    <w:p>
      <w:pPr>
        <w:pStyle w:val="Compact"/>
        <w:numPr>
          <w:ilvl w:val="0"/>
          <w:numId w:val="1001"/>
        </w:numPr>
      </w:pPr>
      <w:r>
        <w:t xml:space="preserve">Seneviratne, S. I. et al. Weather and climate extreme events in a changing climate. In Climate Change 2021: The Physical Science Basis. Contribution of Working Group I to the Sixth Assessment Report of the IPCC, 1513–1766 (Cambridge Univ. Press, 2021). https://doi.org/10.1017/9781009157896.013</w:t>
      </w:r>
    </w:p>
    <w:p>
      <w:pPr>
        <w:pStyle w:val="Compact"/>
        <w:numPr>
          <w:ilvl w:val="0"/>
          <w:numId w:val="1001"/>
        </w:numPr>
      </w:pPr>
      <w:r>
        <w:t xml:space="preserve">Poulter, B. et al. Multi-scale observations of mangrove blue carbon ecosystem fluxes: the NASA Carbon Monitoring System BlueFlux field campaign. Environ. Res. Lett. 18, 075009 (2023). https://doi.org/10.1088/1748-9326/acdae6</w:t>
      </w:r>
    </w:p>
    <w:p>
      <w:pPr>
        <w:pStyle w:val="Compact"/>
        <w:numPr>
          <w:ilvl w:val="0"/>
          <w:numId w:val="1001"/>
        </w:numPr>
      </w:pPr>
      <w:r>
        <w:t xml:space="preserve">Doughty, C. L. et al. Compounded effects on wetland greenhouse gas fluxes from climate change and water management along a saline to freshwater gradient. Proc. Natl Acad. Sci. USA 123, e2513685123 (2026). https://doi.org/10.1073/pnas.2513685123</w:t>
      </w:r>
    </w:p>
    <w:p>
      <w:pPr>
        <w:pStyle w:val="Compact"/>
        <w:numPr>
          <w:ilvl w:val="0"/>
          <w:numId w:val="1001"/>
        </w:numPr>
      </w:pPr>
      <w:r>
        <w:t xml:space="preserve">Calders, K. et al. Nondestructive estimates of above-ground biomass using terrestrial laser scanning. Methods Ecol. Evol. 6, 198–208 (2015). https://doi.org/10.1111/2041-210X.12301</w:t>
      </w:r>
    </w:p>
    <w:p>
      <w:pPr>
        <w:pStyle w:val="Compact"/>
        <w:numPr>
          <w:ilvl w:val="0"/>
          <w:numId w:val="1001"/>
        </w:numPr>
      </w:pPr>
      <w:r>
        <w:t xml:space="preserve">Powell, E. B. et al. [Terrestrial laser scanning of Everglades mangrove structure and surface area across a hurricane-disturbance gradient — methods paper in preparation; details to complete]</w:t>
      </w:r>
    </w:p>
    <w:p>
      <w:pPr>
        <w:pStyle w:val="Compact"/>
        <w:numPr>
          <w:ilvl w:val="0"/>
          <w:numId w:val="1001"/>
        </w:numPr>
      </w:pPr>
      <w:r>
        <w:t xml:space="preserve">Wolfe, G. M. et al. The NASA Carbon Airborne Flux Experiment (CARAFE): instrumentation and methodology. Atmos. Meas. Tech. 11, 1757–1776 (2018). https://doi.org/10.5194/amt-11-1757-2018</w:t>
      </w:r>
    </w:p>
    <w:p>
      <w:pPr>
        <w:pStyle w:val="Compact"/>
        <w:numPr>
          <w:ilvl w:val="0"/>
          <w:numId w:val="1001"/>
        </w:numPr>
      </w:pPr>
      <w:r>
        <w:t xml:space="preserve">Delaria, E. R. et al. Assessment of landscape-scale fluxes of carbon dioxide and methane in subtropical coastal wetlands of South Florida. J. Geophys. Res. Biogeosci. 129, e2024JG008165 (2024). https://doi.org/10.1029/2024JG008165</w:t>
      </w:r>
    </w:p>
    <w:p>
      <w:pPr>
        <w:pStyle w:val="Compact"/>
        <w:numPr>
          <w:ilvl w:val="0"/>
          <w:numId w:val="1001"/>
        </w:numPr>
      </w:pPr>
      <w:r>
        <w:t xml:space="preserve">Maher, D. et al. Matters Arising: critical methodological flaws in Qin et al. (2025)</w:t>
      </w:r>
      <w:r>
        <w:t xml:space="preserve"> </w:t>
      </w:r>
      <w:r>
        <w:t xml:space="preserve">“Mangrove sediment carbon burial offset by methane emissions from mangrove tree stems”</w:t>
      </w:r>
      <w:r>
        <w:t xml:space="preserve">. EarthArXiv preprint (2025). https://doi.org/10.31223/X5XB3C</w:t>
      </w:r>
    </w:p>
    <w:p>
      <w:pPr>
        <w:pStyle w:val="Compact"/>
        <w:numPr>
          <w:ilvl w:val="0"/>
          <w:numId w:val="1001"/>
        </w:numPr>
      </w:pPr>
      <w:r>
        <w:t xml:space="preserve">Liu, J. et al. Methane emissions reduce the radiative cooling effect of a subtropical estuarine mangrove wetland by half. Glob. Change Biol. 26, 4998–5016 (2020). https://doi.org/10.1111/gcb.15247</w:t>
      </w:r>
    </w:p>
    <w:p>
      <w:pPr>
        <w:pStyle w:val="Compact"/>
        <w:numPr>
          <w:ilvl w:val="0"/>
          <w:numId w:val="1001"/>
        </w:numPr>
      </w:pPr>
      <w:r>
        <w:t xml:space="preserve">Hutjes, R. W. A. et al. Dis-aggregation of airborne flux measurements using footprint analysis. Agric. For. Meteorol. 150, 966–983 (2010). https://doi.org/10.1016/j.agrformet.2010.03.004</w:t>
      </w:r>
    </w:p>
    <w:p>
      <w:pPr>
        <w:pStyle w:val="Compact"/>
        <w:numPr>
          <w:ilvl w:val="0"/>
          <w:numId w:val="1001"/>
        </w:numPr>
      </w:pPr>
      <w:r>
        <w:t xml:space="preserve">Hannun, R. A. et al. Spatial heterogeneity in CO2, CH4, and energy fluxes: insights from airborne eddy covariance measurements over the Mid-Atlantic region. Environ. Res. Lett. 15, 035008 (2020). https://doi.org/10.1088/1748-9326/ab7391</w:t>
      </w:r>
    </w:p>
    <w:p>
      <w:pPr>
        <w:pStyle w:val="Compact"/>
        <w:numPr>
          <w:ilvl w:val="0"/>
          <w:numId w:val="1001"/>
        </w:numPr>
      </w:pPr>
      <w:r>
        <w:t xml:space="preserve">Barr, J. G. et al. Controls on mangrove forest-atmosphere carbon dioxide exchanges in western Everglades National Park. J. Geophys. Res. Biogeosci. 115, G02020 (2010). https://doi.org/10.1029/2009JG001186</w:t>
      </w:r>
    </w:p>
    <w:p>
      <w:pPr>
        <w:pStyle w:val="Compact"/>
        <w:numPr>
          <w:ilvl w:val="0"/>
          <w:numId w:val="1001"/>
        </w:numPr>
      </w:pPr>
      <w:r>
        <w:t xml:space="preserve">Jones, H. J. et al. A new family of uncultivated bacteria involved in methanogenesis from the ubiquitous osmolyte glycine betaine in coastal saltmarsh sediments. Microbiome 7, 120 (2019). https://doi.org/10.1186/s40168-019-0732-4</w:t>
      </w:r>
    </w:p>
    <w:p>
      <w:pPr>
        <w:pStyle w:val="Compact"/>
        <w:numPr>
          <w:ilvl w:val="0"/>
          <w:numId w:val="1001"/>
        </w:numPr>
      </w:pPr>
      <w:r>
        <w:t xml:space="preserve">Krause, S. J. E. &amp; Treude, T. Deciphering cryptic methane cycling: coupling of methylotrophic methanogenesis and anaerobic oxidation of methane in hypersaline coastal wetland sediment. Geochim. Cosmochim. Acta 302, 160–174 (2021). https://doi.org/10.1016/j.gca.2021.03.021</w:t>
      </w:r>
    </w:p>
    <w:p>
      <w:pPr>
        <w:pStyle w:val="Compact"/>
        <w:numPr>
          <w:ilvl w:val="0"/>
          <w:numId w:val="1001"/>
        </w:numPr>
      </w:pPr>
      <w:r>
        <w:t xml:space="preserve">Smith, M. A., Cain, M. &amp; Allen, M. R. Further improvement of warming-equivalent emissions calculation. npj Clim. Atmos. Sci. 4, 19 (2021). https://doi.org/10.1038/s41612-021-00169-8</w:t>
      </w:r>
    </w:p>
    <w:p>
      <w:pPr>
        <w:pStyle w:val="Compact"/>
        <w:numPr>
          <w:ilvl w:val="0"/>
          <w:numId w:val="1001"/>
        </w:numPr>
      </w:pPr>
      <w:r>
        <w:t xml:space="preserve">Santos, I. R. et al. The renaissance of Odum’s outwelling hypothesis in</w:t>
      </w:r>
      <w:r>
        <w:t xml:space="preserve"> </w:t>
      </w:r>
      <w:r>
        <w:t xml:space="preserve">‘Blue Carbon’</w:t>
      </w:r>
      <w:r>
        <w:t xml:space="preserve"> </w:t>
      </w:r>
      <w:r>
        <w:t xml:space="preserve">science. Estuar. Coast. Shelf Sci. 255, 107361 (2021). https://doi.org/10.1016/j.ecss.2021.107361</w:t>
      </w:r>
    </w:p>
    <w:p>
      <w:pPr>
        <w:pStyle w:val="Compact"/>
        <w:numPr>
          <w:ilvl w:val="0"/>
          <w:numId w:val="1001"/>
        </w:numPr>
      </w:pPr>
      <w:r>
        <w:t xml:space="preserve">Ho, D. T. et al. Dissolved carbon biogeochemistry and export in mangrove-dominated rivers of the Florida Everglades. Biogeosciences 14, 2543–2559 (2017). https://doi.org/10.5194/bg-14-2543-2017</w:t>
      </w:r>
    </w:p>
    <w:p>
      <w:pPr>
        <w:pStyle w:val="Compact"/>
        <w:numPr>
          <w:ilvl w:val="0"/>
          <w:numId w:val="1001"/>
        </w:numPr>
      </w:pPr>
      <w:r>
        <w:t xml:space="preserve">Sippo, J. Z. et al. Are mangroves drivers or buffers of coastal acidification? Insights from alkalinity and dissolved inorganic carbon export estimates across a latitudinal transect. Glob. Biogeochem. Cycles 30, 753–766 (2016). https://doi.org/10.1002/2015GB005324</w:t>
      </w:r>
    </w:p>
    <w:p>
      <w:pPr>
        <w:pStyle w:val="Compact"/>
        <w:numPr>
          <w:ilvl w:val="0"/>
          <w:numId w:val="1001"/>
        </w:numPr>
      </w:pPr>
      <w:r>
        <w:t xml:space="preserve">Reithmaier, G. M. S. et al. Carbonate chemistry and carbon sequestration driven by inorganic carbon outwelling from mangroves and saltmarshes. Nat. Commun. 14, 8196 (2023). https://doi.org/10.1038/s41467-023-44037-w</w:t>
      </w:r>
    </w:p>
    <w:p>
      <w:pPr>
        <w:pStyle w:val="Compact"/>
        <w:numPr>
          <w:ilvl w:val="0"/>
          <w:numId w:val="1001"/>
        </w:numPr>
      </w:pPr>
      <w:r>
        <w:t xml:space="preserve">Zhao, X. et al. Tropical cyclones cumulatively control regional carbon fluxes in Everglades mangrove wetlands (Florida, USA). Sci. Rep. 11, 13927 (2021). https://doi.org/10.1038/s41598-021-92899-1</w:t>
      </w:r>
    </w:p>
    <w:p>
      <w:pPr>
        <w:pStyle w:val="Compact"/>
        <w:numPr>
          <w:ilvl w:val="0"/>
          <w:numId w:val="1001"/>
        </w:numPr>
      </w:pPr>
      <w:r>
        <w:t xml:space="preserve">Taillie, P. J. et al. Widespread mangrove damage resulting from the 2017 Atlantic mega hurricane season. Environ. Res. Lett. 15, 064010 (2020). https://doi.org/10.1088/1748-9326/ab82cf</w:t>
      </w:r>
    </w:p>
    <w:p>
      <w:pPr>
        <w:pStyle w:val="Compact"/>
        <w:numPr>
          <w:ilvl w:val="0"/>
          <w:numId w:val="1001"/>
        </w:numPr>
      </w:pPr>
      <w:r>
        <w:t xml:space="preserve">Cahoon, D. R. et al. Mass tree mortality leads to mangrove peat collapse at Bay Islands, Honduras after Hurricane Mitch. J. Ecol. 91, 1093–1105 (2003). https://doi.org/10.1046/j.1365-2745.2003.00841.x</w:t>
      </w:r>
    </w:p>
    <w:p>
      <w:pPr>
        <w:pStyle w:val="Compact"/>
        <w:numPr>
          <w:ilvl w:val="0"/>
          <w:numId w:val="1001"/>
        </w:numPr>
      </w:pPr>
      <w:r>
        <w:t xml:space="preserve">Martinez, M. &amp; Ardón, M. Drivers of greenhouse gas emissions from standing dead trees in ghost forests. Biogeochemistry 154, 471–488 (2021). https://doi.org/10.1007/s10533-021-00797-5</w:t>
      </w:r>
    </w:p>
    <w:p>
      <w:pPr>
        <w:pStyle w:val="Compact"/>
        <w:numPr>
          <w:ilvl w:val="0"/>
          <w:numId w:val="1001"/>
        </w:numPr>
      </w:pPr>
      <w:r>
        <w:t xml:space="preserve">Mo, Y., Simard, M. &amp; Hall, J. W. Tropical cyclone risk to global mangrove ecosystems: potential future regional shifts. Front. Ecol. Environ. 21, 269–274 (2023). https://doi.org/10.1002/fee.2650</w:t>
      </w:r>
    </w:p>
    <w:p>
      <w:pPr>
        <w:pStyle w:val="Compact"/>
        <w:numPr>
          <w:ilvl w:val="0"/>
          <w:numId w:val="1001"/>
        </w:numPr>
      </w:pPr>
      <w:r>
        <w:t xml:space="preserve">Peereman, J., Hogan, J. A. &amp; Lin, T.-C. Disturbance frequency, intensity and forest structure modulate cyclone-induced changes in mangrove forest canopy cover. Glob. Ecol. Biogeogr. 31, 37–50 (2022). https://doi.org/10.1111/geb.13407</w:t>
      </w:r>
    </w:p>
    <w:p>
      <w:pPr>
        <w:pStyle w:val="Compact"/>
        <w:numPr>
          <w:ilvl w:val="0"/>
          <w:numId w:val="1001"/>
        </w:numPr>
      </w:pPr>
      <w:r>
        <w:t xml:space="preserve">Lewis, R. R. Ecological engineering for successful management and restoration of mangrove forests. Ecol. Eng. 24, 403–418 (2005). https://doi.org/10.1016/j.ecoleng.2004.10.003</w:t>
      </w:r>
    </w:p>
    <w:p>
      <w:pPr>
        <w:pStyle w:val="Compact"/>
        <w:numPr>
          <w:ilvl w:val="0"/>
          <w:numId w:val="1001"/>
        </w:numPr>
      </w:pPr>
      <w:r>
        <w:t xml:space="preserve">Rosentreter, J. A., Al-Haj, A. N., Fulweiler, R. W. &amp; Williamson, P. Methane and nitrous oxide emissions complicate coastal blue carbon assessments. Glob. Biogeochem. Cycles 35, e2020GB006858 (2021). https://doi.org/10.1029/2020GB006858</w:t>
      </w:r>
    </w:p>
    <w:p>
      <w:pPr>
        <w:pStyle w:val="Compact"/>
        <w:numPr>
          <w:ilvl w:val="0"/>
          <w:numId w:val="1001"/>
        </w:numPr>
      </w:pPr>
      <w:r>
        <w:t xml:space="preserve">Williamson, P. &amp; Gattuso, J.-P. Carbon removal using coastal blue carbon ecosystems is uncertain and unreliable, with questionable climatic cost-effectiveness. Front. Clim. 4, 853666 (2022). https://doi.org/10.3389/fclim.2022.853666</w:t>
      </w:r>
    </w:p>
    <w:p>
      <w:pPr>
        <w:pStyle w:val="Compact"/>
        <w:numPr>
          <w:ilvl w:val="0"/>
          <w:numId w:val="1001"/>
        </w:numPr>
      </w:pPr>
      <w:r>
        <w:t xml:space="preserve">Rheault, K., Christiansen, J. R. &amp; Larsen, K. S. goFlux: a user-friendly way to calculate GHG fluxes yourself, regardless of user experience. J. Open Source Softw. 9, 6393 (2024). https://doi.org/10.21105/joss.06393</w:t>
      </w:r>
    </w:p>
    <w:p>
      <w:pPr>
        <w:pStyle w:val="Compact"/>
        <w:numPr>
          <w:ilvl w:val="0"/>
          <w:numId w:val="1001"/>
        </w:numPr>
      </w:pPr>
      <w:r>
        <w:t xml:space="preserve">Hutchinson, G. L. &amp; Mosier, A. R. Improved soil cover method for field measurement of nitrous oxide fluxes. Soil Sci. Soc. Am. J. 45, 311–316 (1981). https://doi.org/10.2136/sssaj1981.03615995004500020017x</w:t>
      </w:r>
    </w:p>
    <w:p>
      <w:pPr>
        <w:pStyle w:val="Compact"/>
        <w:numPr>
          <w:ilvl w:val="0"/>
          <w:numId w:val="1001"/>
        </w:numPr>
      </w:pPr>
      <w:r>
        <w:t xml:space="preserve">Pedersen, A. R., Petersen, S. O. &amp; Schelde, K. A comprehensive approach to soil-atmosphere trace-gas flux estimation with static chambers. Eur. J. Soil Sci. 61, 888–902 (2010). https://doi.org/10.1111/j.1365-2389.2010.01291.x</w:t>
      </w:r>
    </w:p>
    <w:p>
      <w:pPr>
        <w:pStyle w:val="Compact"/>
        <w:numPr>
          <w:ilvl w:val="0"/>
          <w:numId w:val="1001"/>
        </w:numPr>
      </w:pPr>
      <w:r>
        <w:t xml:space="preserve">Krauss, K. W. et al. Woody debris in the mangrove forests of South Florida. Biotropica 37, 9–15 (2005). https://doi.org/10.1111/j.1744-7429.2005.03058.x</w:t>
      </w:r>
    </w:p>
    <w:p>
      <w:pPr>
        <w:pStyle w:val="Compact"/>
        <w:numPr>
          <w:ilvl w:val="0"/>
          <w:numId w:val="1001"/>
        </w:numPr>
      </w:pPr>
      <w:r>
        <w:t xml:space="preserve">Troxler, T. G. et al. Component-specific dynamics of riverine mangrove CO2 efflux in the Florida coastal Everglades. Agric. For. Meteorol. 213, 273–282 (2015). https://doi.org/10.1016/j.agrformet.2014.12.012</w:t>
      </w:r>
    </w:p>
    <w:p>
      <w:pPr>
        <w:pStyle w:val="Compact"/>
        <w:numPr>
          <w:ilvl w:val="0"/>
          <w:numId w:val="1001"/>
        </w:numPr>
      </w:pPr>
      <w:r>
        <w:t xml:space="preserve">Heskel, M. A. et al. Convergence in the temperature response of leaf respiration across biomes and plant functional types. Proc. Natl Acad. Sci. USA 113, 3832–3837 (2016). https://doi.org/10.1073/pnas.1520282113</w:t>
      </w:r>
    </w:p>
    <w:p>
      <w:pPr>
        <w:pStyle w:val="Compact"/>
        <w:numPr>
          <w:ilvl w:val="0"/>
          <w:numId w:val="1001"/>
        </w:numPr>
      </w:pPr>
      <w:r>
        <w:t xml:space="preserve">Kljun, N., Calanca, P., Rotach, M. W. &amp; Schmid, H. P. A simple two-dimensional parameterisation for Flux Footprint Prediction (FFP). Geosci. Model Dev. 8, 3695–3713 (2015). https://doi.org/10.5194/gmd-8-3695-2015</w:t>
      </w:r>
    </w:p>
    <w:bookmarkEnd w:id="31"/>
    <w:bookmarkStart w:id="32" w:name="acknowledgments"/>
    <w:p>
      <w:pPr>
        <w:pStyle w:val="Heading2"/>
      </w:pPr>
      <w:r>
        <w:t xml:space="preserve">Acknowledgments</w:t>
      </w:r>
    </w:p>
    <w:p>
      <w:pPr>
        <w:pStyle w:val="FirstParagraph"/>
      </w:pPr>
      <w:r>
        <w:t xml:space="preserve">We thank Nadav Bendavid, Kinsey Blumenthal, Rocco D’Ascanio, Anna Stemberger, Qing Ying and Jared Hirsch for field assistance; Shukhrat Shokirov, Nola Lai, Benjamin Saalidong, Jonas Karosas, Bella Garrioch and Nico Theunissen for laboratory and data processing; Edward Castañeda-Moya, Temilola Fatoyinbo, Luke Jeffrey and John Kominoski for guidance; and the Florida Coastal Everglades LTER Program, Everglades National Park, the CORESCAM project, Rookery Bay National Estuarine Research Reserve, the Yale Analytical and Stable Isotope Center and the Yale Center for Natural Carbon Capture.</w:t>
      </w:r>
      <w:r>
        <w:t xml:space="preserve"> </w:t>
      </w:r>
      <w:r>
        <w:rPr>
          <w:b/>
          <w:bCs/>
        </w:rPr>
        <w:t xml:space="preserve">Funding:</w:t>
      </w:r>
      <w:r>
        <w:t xml:space="preserve"> </w:t>
      </w:r>
      <w:r>
        <w:t xml:space="preserve">NASA Carbon Monitoring System (BlueFlux); NSF Graduate Research Fellowship and NASA Connecticut Space Grant Graduate Fellowship (J.G.); [others to complete].</w:t>
      </w:r>
      <w:r>
        <w:t xml:space="preserve"> </w:t>
      </w:r>
      <w:r>
        <w:rPr>
          <w:b/>
          <w:bCs/>
        </w:rPr>
        <w:t xml:space="preserve">Author contributions:</w:t>
      </w:r>
      <w:r>
        <w:t xml:space="preserve"> </w:t>
      </w:r>
      <w:r>
        <w:rPr>
          <w:i/>
          <w:iCs/>
        </w:rPr>
        <w:t xml:space="preserve">[to complete]</w:t>
      </w:r>
      <w:r>
        <w:t xml:space="preserve">.</w:t>
      </w:r>
      <w:r>
        <w:t xml:space="preserve"> </w:t>
      </w:r>
      <w:r>
        <w:rPr>
          <w:b/>
          <w:bCs/>
        </w:rPr>
        <w:t xml:space="preserve">Competing interests:</w:t>
      </w:r>
      <w:r>
        <w:t xml:space="preserve"> </w:t>
      </w:r>
      <w:r>
        <w:rPr>
          <w:i/>
          <w:iCs/>
        </w:rPr>
        <w:t xml:space="preserve">[to complete]</w:t>
      </w:r>
      <w:r>
        <w:t xml:space="preserve">.</w:t>
      </w:r>
      <w:r>
        <w:t xml:space="preserve"> </w:t>
      </w:r>
      <w:r>
        <w:rPr>
          <w:b/>
          <w:bCs/>
        </w:rPr>
        <w:t xml:space="preserve">Data and materials availability:</w:t>
      </w:r>
      <w:r>
        <w:t xml:space="preserve"> </w:t>
      </w:r>
      <w:r>
        <w:t xml:space="preserve">the chamber flux dataset and analysis workflow are at [repository URL]; all external datasets used are listed with citations in data S2.</w:t>
      </w:r>
    </w:p>
    <w:p>
      <w:r>
        <w:pict>
          <v:rect style="width:0;height:1.5pt" o:hralign="center" o:hrstd="t" o:hr="t"/>
        </w:pict>
      </w:r>
    </w:p>
    <w:bookmarkEnd w:id="32"/>
    <w:bookmarkStart w:id="35" w:name="supplementary-materials"/>
    <w:p>
      <w:pPr>
        <w:pStyle w:val="Heading2"/>
      </w:pPr>
      <w:r>
        <w:t xml:space="preserve">Supplementary Materials</w:t>
      </w:r>
    </w:p>
    <w:bookmarkStart w:id="33" w:name="materials-and-methods"/>
    <w:p>
      <w:pPr>
        <w:pStyle w:val="Heading3"/>
      </w:pPr>
      <w:r>
        <w:t xml:space="preserve">Materials and Methods</w:t>
      </w:r>
    </w:p>
    <w:p>
      <w:pPr>
        <w:pStyle w:val="FirstParagraph"/>
      </w:pPr>
      <w:r>
        <w:rPr>
          <w:b/>
          <w:bCs/>
        </w:rPr>
        <w:t xml:space="preserve">Study system.</w:t>
      </w:r>
      <w:r>
        <w:t xml:space="preserve"> </w:t>
      </w:r>
      <w:r>
        <w:t xml:space="preserve">We worked in mangrove forests of the southwest Florida coast in and near Everglades National Park, across three classes along a hurricane-disturbance gradient. The two ghost-forest sites (FLM30, CP40) lost their canopy when Hurricane Irma (September 2017) drove storm surge and ponding across the region (36); five years later they retained standing dead trunks and roots with no canopy recovery. The regenerating site (BL60) was also damaged but supported active recruitment beneath a low, discontinuous canopy. The intact sites (SRS5, SRS6) are tall riverine forests on the Shark River that sustained comparatively little damage. Dominant species are</w:t>
      </w:r>
      <w:r>
        <w:t xml:space="preserve"> </w:t>
      </w:r>
      <w:r>
        <w:rPr>
          <w:i/>
          <w:iCs/>
        </w:rPr>
        <w:t xml:space="preserve">Rhizophora mangle</w:t>
      </w:r>
      <w:r>
        <w:t xml:space="preserve">,</w:t>
      </w:r>
      <w:r>
        <w:t xml:space="preserve"> </w:t>
      </w:r>
      <w:r>
        <w:rPr>
          <w:i/>
          <w:iCs/>
        </w:rPr>
        <w:t xml:space="preserve">Avicennia germinans</w:t>
      </w:r>
      <w:r>
        <w:t xml:space="preserve">,</w:t>
      </w:r>
      <w:r>
        <w:t xml:space="preserve"> </w:t>
      </w:r>
      <w:r>
        <w:rPr>
          <w:i/>
          <w:iCs/>
        </w:rPr>
        <w:t xml:space="preserve">Laguncularia racemosa</w:t>
      </w:r>
      <w:r>
        <w:t xml:space="preserve"> </w:t>
      </w:r>
      <w:r>
        <w:t xml:space="preserve">and</w:t>
      </w:r>
      <w:r>
        <w:t xml:space="preserve"> </w:t>
      </w:r>
      <w:r>
        <w:rPr>
          <w:i/>
          <w:iCs/>
        </w:rPr>
        <w:t xml:space="preserve">Conocarpus erectus</w:t>
      </w:r>
      <w:r>
        <w:t xml:space="preserve">. The climate is subtropical, with ~70% of the 1,000–1,700 mm annual rainfall falling in the May–October wet season. Single-visit measurements at Marco Island, Rookery Bay and the SE-1 scrub-mangrove ecotone gave additional context. Sites and coordinates are in table S1.</w:t>
      </w:r>
    </w:p>
    <w:p>
      <w:pPr>
        <w:pStyle w:val="BodyText"/>
      </w:pPr>
      <w:r>
        <w:rPr>
          <w:b/>
          <w:bCs/>
        </w:rPr>
        <w:t xml:space="preserve">Campaigns and design.</w:t>
      </w:r>
      <w:r>
        <w:t xml:space="preserve"> </w:t>
      </w:r>
      <w:r>
        <w:t xml:space="preserve">Repeat measurements spanned October 2022 (late wet season) and March 2023 (dry season), each with chamber fluxes, TLS and environmental sampling at the five core sites. CARAFE airborne flights were part of the wider BlueFlux campaign (42), with deployments in April 2022, October 2022, February 2023, April 2023 and July 2024; October 2022 and February/April 2023 bracket our ground campaigns. Bottom-up budgets (chambers × TLS) were compared with the tower and airborne fluxes.</w:t>
      </w:r>
    </w:p>
    <w:p>
      <w:pPr>
        <w:pStyle w:val="BodyText"/>
      </w:pPr>
      <w:r>
        <w:rPr>
          <w:b/>
          <w:bCs/>
        </w:rPr>
        <w:t xml:space="preserve">Chamber fluxes.</w:t>
      </w:r>
      <w:r>
        <w:t xml:space="preserve"> </w:t>
      </w:r>
      <w:r>
        <w:t xml:space="preserve">CH4 and CO2 were measured with closed dynamic chambers connected to portable analyzers (three ABB/LGR GLA131 microportable greenhouse-gas analyzers and one Picarro G4301), logging at 1 Hz (LGR) or ~0.2 Hz (Picarro). Chambers were matched to each surface (fig. S1): four elliptical stem-chamber sizes (40–462 cm2) sealed to bark with modelling clay at 0, 50 and 100 cm above the sediment (and 150 cm where possible); prop-root chambers on individual</w:t>
      </w:r>
      <w:r>
        <w:t xml:space="preserve"> </w:t>
      </w:r>
      <w:r>
        <w:rPr>
          <w:i/>
          <w:iCs/>
        </w:rPr>
        <w:t xml:space="preserve">R. mangle</w:t>
      </w:r>
      <w:r>
        <w:t xml:space="preserve"> </w:t>
      </w:r>
      <w:r>
        <w:t xml:space="preserve">roots; a transparent leaf chamber enclosing a branch cluster (to determine flux direction and approximate magnitude); open-bottom soil cylinders (23.5 cm diameter) in the wet season and PVC soil collars (14.3 or 19.4 cm) inserted ≥1 h before sampling in the dry season; and floating chambers (19.4 cm) on surface water. Soil chambers included pneumatophores, whose density was recorded. Chambers used closed-loop tubing with inline desiccant, were leak-tested before each measurement, and had system volumes computed for each chamber–analyzer combination. Measurements covered all four species, including standing dead trunks at ghost sites (≥5 stems per species per site; 10 soil collars per plot). In total, 752 fluxes were analysed: stems (n = 476), soil (118), water (47 floating-chamber placements), prop roots (65), downed wood (27) and leaves (19).</w:t>
      </w:r>
    </w:p>
    <w:p>
      <w:pPr>
        <w:pStyle w:val="BodyText"/>
      </w:pPr>
      <w:r>
        <w:rPr>
          <w:b/>
          <w:bCs/>
        </w:rPr>
        <w:t xml:space="preserve">Flux calculation.</w:t>
      </w:r>
      <w:r>
        <w:t xml:space="preserve"> </w:t>
      </w:r>
      <w:r>
        <w:t xml:space="preserve">Fluxes were computed with goFlux (69), fitting linear and Hutchinson–Mosier (70, 71) models and reporting the best-fit flux, corrected for chamber volume, area, air temperature and pressure (from the US-Skr tower). Minimum detectable fluxes were computed per measurement; below-detection fluxes were retained. Measurements with analyzer artefacts were excluded (data S1). Water-surface methane was partitioned into diffusive and ebullitive components by removing bubble steps from the concentration series and fitting the diffusive flux to the corrected series (fig. S4).</w:t>
      </w:r>
    </w:p>
    <w:p>
      <w:pPr>
        <w:pStyle w:val="BodyText"/>
      </w:pPr>
      <w:r>
        <w:rPr>
          <w:b/>
          <w:bCs/>
        </w:rPr>
        <w:t xml:space="preserve">Terrestrial laser scanning.</w:t>
      </w:r>
      <w:r>
        <w:t xml:space="preserve"> </w:t>
      </w:r>
      <w:r>
        <w:t xml:space="preserve">Plot structure was measured with a RIEGL VZ-400i scanner (1,550 nm; 0.03° resolution) and Trimble R8/R6 GNSS (45); point clouds are archived at the ORNL DAAC (data S2). Scans from multiple positions per plot</w:t>
      </w:r>
      <w:r>
        <w:t xml:space="preserve"> </w:t>
      </w:r>
      <w:r>
        <w:rPr>
          <w:i/>
          <w:iCs/>
        </w:rPr>
        <w:t xml:space="preserve">[CHECK with L. Powell: number of scan positions per plot]</w:t>
      </w:r>
      <w:r>
        <w:t xml:space="preserve"> </w:t>
      </w:r>
      <w:r>
        <w:t xml:space="preserve">were registered by iterative closest point and multi-station adjustment in RiSCAN PRO, georeferenced to WGS 84 / UTM 17N, segmented into wood (trunk, branch, prop root) and leaf, and summarized as surface area per 0.5 m height bin per unit ground area. Because the scanner sees the water surface rather than the sediment in flooded plots, heights were corrected to the sediment surface using water depth at scan time</w:t>
      </w:r>
      <w:r>
        <w:t xml:space="preserve"> </w:t>
      </w:r>
      <w:r>
        <w:rPr>
          <w:i/>
          <w:iCs/>
        </w:rPr>
        <w:t xml:space="preserve">[PLACEHOLDER — final segmentation and surface-area methods from L. Powell and L. Xiong]</w:t>
      </w:r>
      <w:r>
        <w:t xml:space="preserve">.</w:t>
      </w:r>
    </w:p>
    <w:p>
      <w:pPr>
        <w:pStyle w:val="BodyText"/>
      </w:pPr>
      <w:r>
        <w:rPr>
          <w:b/>
          <w:bCs/>
        </w:rPr>
        <w:t xml:space="preserve">Stand budgets.</w:t>
      </w:r>
      <w:r>
        <w:t xml:space="preserve"> </w:t>
      </w:r>
      <w:r>
        <w:t xml:space="preserve">Stand CH4 and respiration budgets multiplied each component’s flux density by its area per unit ground area and summed across components. Stem flux was integrated over height using the measured profile, modelled relative to the water surface so that the emission peak moves with water level; only surface above the water emits. Inundation set which surfaces emit: ghost sites were fully flooded in the wet season, and the exposed fraction in the dry season was budgeted as soil; tidal intact sites were weighted by the share of the forest floor under water from hourly FCE LTER water levels. Downed-wood area came from regional woody-debris volumes (72, 73). Net CO2 exchange was respiration minus gross primary production, with ecosystem respiration built from chamber fluxes plus a literature canopy-respiration term (74) and gross primary production from the US-Skr tower; ghost-forest photosynthesis was taken as negligible.</w:t>
      </w:r>
    </w:p>
    <w:p>
      <w:pPr>
        <w:pStyle w:val="BodyText"/>
      </w:pPr>
      <w:r>
        <w:rPr>
          <w:b/>
          <w:bCs/>
        </w:rPr>
        <w:t xml:space="preserve">Tower and airborne fluxes.</w:t>
      </w:r>
      <w:r>
        <w:t xml:space="preserve"> </w:t>
      </w:r>
      <w:r>
        <w:t xml:space="preserve">The US-Skr tower (SRS6) measures CO2 and CH4 by eddy covariance on a 30 m tower</w:t>
      </w:r>
      <w:r>
        <w:t xml:space="preserve"> </w:t>
      </w:r>
      <w:r>
        <w:rPr>
          <w:i/>
          <w:iCs/>
        </w:rPr>
        <w:t xml:space="preserve">[CHECK: instruments and heights]</w:t>
      </w:r>
      <w:r>
        <w:t xml:space="preserve"> </w:t>
      </w:r>
      <w:r>
        <w:t xml:space="preserve">(52). CARAFE measured CO2 and CH4 from a Beechcraft King Air A90 at ~90 m with a Picarro G2311-f (10 Hz), a Picarro G2401m calibrated to NOAA/WMO standards, and an Aventech AIMMS-20 wind probe (47). Fluxes were computed by continuous wavelet transform along straight legs (&gt;15 km, roll &lt;5°, altitude within ±10 m), assigned to two-dimensional footprints (75), and disaggregated to intact and ghost forest by multilinear regression on footprint land cover (50, 51). Midday airborne CO2 was converted to daily values for comparison with daily chamber budgets.</w:t>
      </w:r>
    </w:p>
    <w:p>
      <w:pPr>
        <w:pStyle w:val="BodyText"/>
      </w:pPr>
      <w:r>
        <w:rPr>
          <w:b/>
          <w:bCs/>
        </w:rPr>
        <w:t xml:space="preserve">Porewater geochemistry.</w:t>
      </w:r>
      <w:r>
        <w:t xml:space="preserve"> </w:t>
      </w:r>
      <w:r>
        <w:t xml:space="preserve">Porewater was sampled in October 2022 and March 2023 (mostly ~40 cm; dissolved CH4 by headspace gas chromatography and salinity)</w:t>
      </w:r>
      <w:r>
        <w:t xml:space="preserve"> </w:t>
      </w:r>
      <w:r>
        <w:rPr>
          <w:i/>
          <w:iCs/>
        </w:rPr>
        <w:t xml:space="preserve">[CHECK: 2022–23 sampler and GC protocol]</w:t>
      </w:r>
      <w:r>
        <w:t xml:space="preserve">, and as depth profiles (surface water and 0, 15, 45 and 90 cm) at SRS5, SRS6, BL60 and CP40 in October 2025 using PushPoint samplers. Field measurements included temperature, pH, conductivity, dissolved oxygen and redox potential (Hanna HI98494), and total dissolved sulfide and iron (Hach DR900). Dissolved CH4, CO2 and their δ13C were measured by headspace equilibration on a Picarro G2201-i; dissolved organic carbon, major ions and alkalinity at the Yale Analytical and Stable Isotope Center; and inorganic nitrogen at Yale</w:t>
      </w:r>
      <w:r>
        <w:t xml:space="preserve"> </w:t>
      </w:r>
      <w:r>
        <w:rPr>
          <w:i/>
          <w:iCs/>
        </w:rPr>
        <w:t xml:space="preserve">[CHECK: method and dilution]</w:t>
      </w:r>
      <w:r>
        <w:t xml:space="preserve">. Intact-site ammonium was compared with FCE LTER porewater monitoring (data S2).</w:t>
      </w:r>
    </w:p>
    <w:p>
      <w:pPr>
        <w:pStyle w:val="BodyText"/>
      </w:pPr>
      <w:r>
        <w:rPr>
          <w:b/>
          <w:bCs/>
        </w:rPr>
        <w:t xml:space="preserve">Sediment metagenomes.</w:t>
      </w:r>
      <w:r>
        <w:t xml:space="preserve"> </w:t>
      </w:r>
      <w:r>
        <w:rPr>
          <w:i/>
          <w:iCs/>
        </w:rPr>
        <w:t xml:space="preserve">[PLACEHOLDER — Peccia lab: sampling, extraction, sequencing, profiling, marker genes (mcrA, mttB/mtbB/mtmB, pmoA/mmoX), normalization by sediment mass and organic carbon.]</w:t>
      </w:r>
    </w:p>
    <w:p>
      <w:pPr>
        <w:pStyle w:val="BodyText"/>
      </w:pPr>
      <w:r>
        <w:rPr>
          <w:b/>
          <w:bCs/>
        </w:rPr>
        <w:t xml:space="preserve">Radiative forcing and regional scaling.</w:t>
      </w:r>
      <w:r>
        <w:t xml:space="preserve"> </w:t>
      </w:r>
      <w:r>
        <w:t xml:space="preserve">CH4 was converted to CO2 equivalents with AR6 global warming potentials (GWP20 = 81.2, GWP100 = 27.9) (7), with GWP* (55) for the intact-to-ghost change. The switch is the intact-to-ghost difference in net forcing. Lateral-export framings used published Shark River syntheses (60). The regional estimate multiplies the per-area switch by the area of 2017 hurricane dieback (61), computed in an equal-area projection and attributed to Irma or Maria by territory, with a Florida bound from (36).</w:t>
      </w:r>
    </w:p>
    <w:p>
      <w:pPr>
        <w:pStyle w:val="BodyText"/>
      </w:pPr>
      <w:r>
        <w:rPr>
          <w:b/>
          <w:bCs/>
        </w:rPr>
        <w:t xml:space="preserve">Statistics.</w:t>
      </w:r>
      <w:r>
        <w:t xml:space="preserve"> </w:t>
      </w:r>
      <w:r>
        <w:t xml:space="preserve">Fluxes were transformed with the inverse hyperbolic sine. Component means and 95% intervals used bootstrap resampling (5,000 iterations). Woody flux by height used a location-scale generalized additive model with class-specific height smooths and tree and site-campaign random effects. Porewater structure used principal-components analysis of 13 centred, scaled variables. Budget and forcing uncertainty was propagated by Monte Carlo (5,000 draws) over chamber fluxes, canopy respiration, downed-wood area, tidal timing and tower photosynthesis. Analyses used R (≥4.3); the workflow is at [repository URL].</w:t>
      </w:r>
    </w:p>
    <w:bookmarkEnd w:id="33"/>
    <w:bookmarkStart w:id="34" w:name="supplementary-text-figures-and-tables"/>
    <w:p>
      <w:pPr>
        <w:pStyle w:val="Heading3"/>
      </w:pPr>
      <w:r>
        <w:t xml:space="preserve">Supplementary Text, figures and tables</w:t>
      </w:r>
    </w:p>
    <w:p>
      <w:pPr>
        <w:pStyle w:val="FirstParagraph"/>
      </w:pPr>
      <w:r>
        <w:t xml:space="preserve">Supplementary Text S1–S11; figs. S1–S10 (currently ED1–ED10 in the NCC draft); tables S1–S11; data S1 (chamber flux dataset).</w:t>
      </w:r>
      <w:r>
        <w:t xml:space="preserve"> </w:t>
      </w:r>
      <w:r>
        <w:rPr>
          <w:i/>
          <w:iCs/>
        </w:rPr>
        <w:t xml:space="preserve">[To assemble from manuscript/SI/manuscript_NCC_SI.md.]</w:t>
      </w:r>
    </w:p>
    <w:p>
      <w:pPr>
        <w:pStyle w:val="BodyText"/>
      </w:pPr>
      <w:r>
        <w:rPr>
          <w:i/>
          <w:iCs/>
        </w:rPr>
        <w:t xml:space="preserve">[CHECK flags: E. Delaria airborne uncertainty definition; inorganic-N dilution; D. Lagomasino on the 2017 layer; TLS scan positions; tower instruments; references marked [details to complete] in manuscript/references.md.]</w:t>
      </w:r>
    </w:p>
    <w:bookmarkEnd w:id="34"/>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3" Target="media/rId13.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2026-10-03T10:07:44Z</dcterms:created>
  <dcterms:modified xsi:type="dcterms:W3CDTF">2026-10-03T10:07:44Z</dcterms:modified>
</cp:coreProperties>
</file>

<file path=docProps/custom.xml><?xml version="1.0" encoding="utf-8"?>
<Properties xmlns="http://schemas.openxmlformats.org/officeDocument/2006/custom-properties" xmlns:vt="http://schemas.openxmlformats.org/officeDocument/2006/docPropsVTypes"/>
</file>