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the NASA Carbon Monitoring System BlueFlux campaign (42), we measured methane and CO2 across a hurricane-disturbance gradient in the Florida coastal Everglades, where Hurricane Irma (September 2017) left extensive ghost forest (36) (Fig. 1). In Landsat greenness, our ghost stands lost their canopy in Irma and have not recovered, whereas the regenerating stand, equally defoliated, regrew to pre-storm greenness within five years (Fig. 1C). We combined chambers on six surfaces (water, soil, prop roots, stems, downed wood and leaves) at intact (Gunboat Island, SRS5; Lower Shark River, SRS6), regenerating (Bear Lake, BL60) and ghost (Christian Point, CP40; Flamingo, FLM30) sites in wet- and dry-season campaigns; terrestrial laser scanning (TLS) (43, 44) to measure the area of each surface; the US-Skr eddy-covariance tower; CARAFE airborne eddy covariance (45, 46), which resolves intact and ghost mangrove fluxes across south Florida; and porewater chemistry and sediment metagenomes to identify mechanisms (Fig. 1D).</w:t>
      </w:r>
    </w:p>
    <w:p>
      <w:pPr>
        <w:pStyle w:val="BodyText"/>
      </w:pPr>
      <w:r>
        <w:drawing>
          <wp:inline>
            <wp:extent cx="5334000" cy="6223000"/>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1. Study system, history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Dry-season (January–April) Landsat NDVI at the five core plots, 1995–2025 (median of cloud-free scenes over a 90 m window; at the river-edge SRS5 and SRS6 plots the window is centred 100 m inland); dashed lines, Hurricanes Wilma (2005) and Irma (2017); bars, BlueFlux ground campaigns (grey) and airborne deployments (blue). (</w:t>
      </w:r>
      <w:r>
        <w:rPr>
          <w:b/>
          <w:bCs/>
        </w:rPr>
        <w:t xml:space="preserve">D</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S6).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2G). Most woody surface lies far above the water line, where flux is lowest (Fig. 2F). Stems therefore contributed &lt;1% of stand methane in both intact and ghost forest, whereas the dense prop-root zone of intact red-mangrove forest contributed ~28% (Fig. 2H). This bears directly on the recent global estimate that mangrove stems emit ~730 Gg CH4 yr−1 (9), which has been questioned for leaning on a few extreme values and on soil flux as a predictor (47).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630333"/>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630333"/>
                    </a:xfrm>
                    <a:prstGeom prst="rect">
                      <a:avLst/>
                    </a:prstGeom>
                    <a:noFill/>
                    <a:ln w="9525">
                      <a:noFill/>
                      <a:headEnd/>
                      <a:tailEnd/>
                    </a:ln>
                  </pic:spPr>
                </pic:pic>
              </a:graphicData>
            </a:graphic>
          </wp:inline>
        </w:drawing>
      </w:r>
    </w:p>
    <w:p>
      <w:pPr>
        <w:pStyle w:val="BodyText"/>
      </w:pPr>
      <w:r>
        <w:rPr>
          <w:b/>
          <w:bCs/>
        </w:rPr>
        <w:t xml:space="preserve">Fig. 2. Flux rates, the surfaces they act on, and their contributions.</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Terrestrial laser scans of intact (SRS6) and ghost (CP40) forest: side views of the same 40 m wide, 20 m deep slab through each plot, paler with distance (44).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 (</w:t>
      </w:r>
      <w:r>
        <w:rPr>
          <w:b/>
          <w:bCs/>
        </w:rPr>
        <w:t xml:space="preserve">G</w:t>
      </w:r>
      <w:r>
        <w:t xml:space="preserve">) Surface per unit ground area by component; pie area proportional to the total. Share of stand (</w:t>
      </w:r>
      <w:r>
        <w:rPr>
          <w:b/>
          <w:bCs/>
        </w:rPr>
        <w:t xml:space="preserve">H</w:t>
      </w:r>
      <w:r>
        <w:t xml:space="preserve">) CH4 and (</w:t>
      </w:r>
      <w:r>
        <w:rPr>
          <w:b/>
          <w:bCs/>
        </w:rPr>
        <w:t xml:space="preserve">I</w:t>
      </w:r>
      <w:r>
        <w:t xml:space="preserve">) respiration by component in the wet (October 2022) and dry (March 2023) campaigns.</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(54%) and prop roots (28%), with tidal water 16% (Fig. 2H).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(48). Ghost forest emitted 11.9 g CH4 m−2 yr−1, eight times more, ~87% of it through flooded water surfaces (Figs. 2H and 3B).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2I). The budgets were insensitive to how stem flux was extrapolated above measured heights (≤4%), because stems are a small term, and ghost-forest emission rests mainly on directly measured water fluxes scaled by inundated area (fig. S9).</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Our ground sites are intensive process sites: few in number, chosen to resolve where and why emissions change, not to represent the region by themselves. Two lines of evidence support them. Sites within a class agreed with each other (intact SRS5 and SRS6; ghost CP40 and FLM30; table S3), and they agreed with independent measurements at larger scale. Airborne eddy covariance, disaggregated to intact and ghost forest (46, 49, 50), agreed with the chamber budgets within uncertainty in both seasons. It ranked ghost above intact methane in the wet season (airborne 51 ± 27 vs 29 ± 16 nmol m−2 s−1; chambers 36 vs 4) and matched net CO2 exchange in sign and magnitude (Fig. 3, A to C). Bottom-up intact CO2 uptake (−1,025 g C m−2 yr−1) matched the eddy-covariance tower over the same forest (−1,288 over the campaign months; −1,170 ± 127 in the long-term record (51)) (Fig. 3C). Chambers scaled by laser-scanned area and footprint-disaggregated airborne fluxes share no measurements, so their agreement does not depend on any one method’s assumptions. The airborne fluxes integrate intact and ghost mangrove along flight legs across south Florida (fig. S20), so the agreement also shows that our sites are representative of intact and ghost mangrove across the region. The climate numbers below come from the site budgets, which resolve every pathway; the airborne data establish that the intact–ghost contrast they describe holds across south Florida. The airborne class fluxes alone, with midday CO2 scaled to daily by the regional tower relation (52), give a switch of ~4,500 g CO2-eq m−2 yr−1 at GWP20 (2,000–7,000), and the BlueFlux regional upscaling over all mapped 2017 dieback gives ~1,700 (52). Both agree in sign and order of magnitude and are smaller, as expected for estimates that average over flight footprints or 500 m pixels and so mix persistent ghost forest with regreening stands and live margins, which our process sites separate (text S5; fig. S21).</w:t>
      </w:r>
      <w:r>
        <w:t xml:space="preserve"> </w:t>
      </w:r>
      <w:r>
        <w:rPr>
          <w:i/>
          <w:iCs/>
        </w:rPr>
        <w:t xml:space="preserve">[PLACEHOLDER — airborne coverage: flight-leg footprint area over intact and ghost mangrove (km2) and the number of legs per class (E. Delaria).]</w:t>
      </w:r>
      <w:r>
        <w:t xml:space="preserve"> </w:t>
      </w:r>
      <w:r>
        <w:rPr>
          <w:i/>
          <w:iCs/>
        </w:rPr>
        <w:t xml:space="preserve">[PLACEHOLDER — July 2024 airborne deployment (E. Delaria): one sentence on whether the intact–ghost contrast holds in the summer wet season, which our chamber campaigns did not sample. Fig. 3A.]</w:t>
      </w:r>
    </w:p>
    <w:p>
      <w:pPr>
        <w:pStyle w:val="BodyText"/>
      </w:pPr>
      <w:r>
        <w:drawing>
          <wp:inline>
            <wp:extent cx="5334000" cy="6667500"/>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 3. The stand carbon budget and its independent closure.</w:t>
      </w:r>
      <w:r>
        <w:t xml:space="preserve"> </w:t>
      </w:r>
      <w:r>
        <w:t xml:space="preserve">(</w:t>
      </w:r>
      <w:r>
        <w:rPr>
          <w:b/>
          <w:bCs/>
        </w:rPr>
        <w:t xml:space="preserve">A</w:t>
      </w:r>
      <w:r>
        <w:t xml:space="preserve">) Airborne CH4 and midday CO2 over intact and ghost forest by deployment (bands, ±1.96 SE; grey, our campaign months)</w:t>
      </w:r>
      <w:r>
        <w:t xml:space="preserve"> </w:t>
      </w:r>
      <w:r>
        <w:rPr>
          <w:i/>
          <w:iCs/>
        </w:rPr>
        <w:t xml:space="preserve">[July 2024 pending]</w:t>
      </w:r>
      <w:r>
        <w:t xml:space="preserve">. Stand (</w:t>
      </w:r>
      <w:r>
        <w:rPr>
          <w:b/>
          <w:bCs/>
        </w:rPr>
        <w:t xml:space="preserve">B</w:t>
      </w:r>
      <w:r>
        <w:t xml:space="preserve">) CH4 and (</w:t>
      </w:r>
      <w:r>
        <w:rPr>
          <w:b/>
          <w:bCs/>
        </w:rPr>
        <w:t xml:space="preserve">C</w:t>
      </w:r>
      <w:r>
        <w:t xml:space="preserve">) CO2 by campaign and annually (mean of the wet and dry campaigns), stacked by component, with bottom-up totals (diamonds; Monte Carlo 95% intervals), airborne (triangles; ±1.96 SE) and tower (squares) estimates; shaded green in C, tower GPP. (</w:t>
      </w:r>
      <w:r>
        <w:rPr>
          <w:b/>
          <w:bCs/>
        </w:rPr>
        <w:t xml:space="preserve">D</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(−3,717 g CO2 m−2 yr−1) dwarfed its methane emission (+123 g CO2-eq at GWP20), which offset 3% of it (Fig. 5A). Ghost forest was a net source (+2,776 g CO2-eq m−2 yr−1 at GWP20; +2,142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−5,183 to −1,854; ghost +1,931 to +3,977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~5,400 (Fig. 3D;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5C). At the measured per-area switch, this loss adds ~1.1 Tg CO2-eq yr−1 at GWP20 (0.7–1.6; 1.0 at GWP100), including 1.8 Gg CH4 yr−1 of induced methane (Fig. 5B).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p>
    <w:p>
      <w:pPr>
        <w:pStyle w:val="BodyText"/>
      </w:pPr>
      <w:r>
        <w:drawing>
          <wp:inline>
            <wp:extent cx="5334000" cy="5482166"/>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47).</w:t>
      </w:r>
    </w:p>
    <w:p>
      <w:pPr>
        <w:pStyle w:val="BodyText"/>
      </w:pPr>
      <w:r>
        <w:t xml:space="preserve">Closing the budget in this way also identifies what is still missing. Ground replication is limited to two sites per class (one regenerating site), which is why we treat the ground sites as process sites and test their representativeness against the airborne class fluxes before scaling.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S19; Tables S1 to S15; References; Data S1 and S2.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2026-10-04T10:23:05Z</dcterms:created>
  <dcterms:modified xsi:type="dcterms:W3CDTF">2026-10-04T10:23:05Z</dcterms:modified>
</cp:coreProperties>
</file>

<file path=docProps/custom.xml><?xml version="1.0" encoding="utf-8"?>
<Properties xmlns="http://schemas.openxmlformats.org/officeDocument/2006/custom-properties" xmlns:vt="http://schemas.openxmlformats.org/officeDocument/2006/docPropsVTypes"/>
</file>