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9BCB8" w14:textId="4BE03A01" w:rsidR="00FD2AB2" w:rsidRPr="0089692C" w:rsidRDefault="00FD2AB2">
      <w:pPr>
        <w:rPr>
          <w:sz w:val="28"/>
          <w:szCs w:val="28"/>
        </w:rPr>
      </w:pPr>
      <w:r w:rsidRPr="0089692C">
        <w:rPr>
          <w:sz w:val="28"/>
          <w:szCs w:val="28"/>
        </w:rPr>
        <w:t>Master</w:t>
      </w:r>
      <w:r w:rsidR="00510C2B">
        <w:rPr>
          <w:sz w:val="28"/>
          <w:szCs w:val="28"/>
        </w:rPr>
        <w:t xml:space="preserve"> of Science in </w:t>
      </w:r>
      <w:r w:rsidRPr="0089692C">
        <w:rPr>
          <w:sz w:val="28"/>
          <w:szCs w:val="28"/>
        </w:rPr>
        <w:t>Applied Economics – University of North Dakota</w:t>
      </w:r>
    </w:p>
    <w:p w14:paraId="6131A9E5" w14:textId="0BF9ADF6" w:rsidR="00FD2AB2" w:rsidRDefault="00FD2AB2">
      <w:pPr>
        <w:rPr>
          <w:sz w:val="28"/>
          <w:szCs w:val="28"/>
        </w:rPr>
      </w:pPr>
      <w:r w:rsidRPr="0089692C">
        <w:rPr>
          <w:sz w:val="28"/>
          <w:szCs w:val="28"/>
        </w:rPr>
        <w:t>August 2016 – May 2019</w:t>
      </w:r>
    </w:p>
    <w:tbl>
      <w:tblPr>
        <w:tblStyle w:val="GridTable4-Accent6"/>
        <w:tblW w:w="14215" w:type="dxa"/>
        <w:tblLayout w:type="fixed"/>
        <w:tblLook w:val="0420" w:firstRow="1" w:lastRow="0" w:firstColumn="0" w:lastColumn="0" w:noHBand="0" w:noVBand="1"/>
      </w:tblPr>
      <w:tblGrid>
        <w:gridCol w:w="7195"/>
        <w:gridCol w:w="7020"/>
      </w:tblGrid>
      <w:tr w:rsidR="001167D3" w:rsidRPr="001167D3" w14:paraId="43604F7C" w14:textId="77777777" w:rsidTr="006F128B">
        <w:trPr>
          <w:cnfStyle w:val="100000000000" w:firstRow="1" w:lastRow="0" w:firstColumn="0" w:lastColumn="0" w:oddVBand="0" w:evenVBand="0" w:oddHBand="0" w:evenHBand="0" w:firstRowFirstColumn="0" w:firstRowLastColumn="0" w:lastRowFirstColumn="0" w:lastRowLastColumn="0"/>
          <w:trHeight w:val="915"/>
        </w:trPr>
        <w:tc>
          <w:tcPr>
            <w:tcW w:w="7195" w:type="dxa"/>
            <w:noWrap/>
            <w:vAlign w:val="center"/>
            <w:hideMark/>
          </w:tcPr>
          <w:p w14:paraId="219564A3" w14:textId="17C3424A" w:rsidR="001167D3" w:rsidRPr="001167D3" w:rsidRDefault="001167D3" w:rsidP="0070370F">
            <w:pPr>
              <w:rPr>
                <w:rFonts w:ascii="Arial" w:eastAsia="Times New Roman" w:hAnsi="Arial" w:cs="Arial"/>
              </w:rPr>
            </w:pPr>
            <w:r w:rsidRPr="001167D3">
              <w:rPr>
                <w:rFonts w:ascii="Arial" w:eastAsia="Times New Roman" w:hAnsi="Arial" w:cs="Arial"/>
              </w:rPr>
              <w:t>Predictive Model Regressions Studied (and Acronym Glossary)</w:t>
            </w:r>
          </w:p>
        </w:tc>
        <w:tc>
          <w:tcPr>
            <w:tcW w:w="7020" w:type="dxa"/>
            <w:noWrap/>
            <w:vAlign w:val="center"/>
            <w:hideMark/>
          </w:tcPr>
          <w:p w14:paraId="7B428E76" w14:textId="77777777" w:rsidR="001167D3" w:rsidRPr="001167D3" w:rsidRDefault="001167D3" w:rsidP="0070370F">
            <w:pPr>
              <w:rPr>
                <w:rFonts w:ascii="Arial" w:eastAsia="Times New Roman" w:hAnsi="Arial" w:cs="Arial"/>
              </w:rPr>
            </w:pPr>
            <w:r w:rsidRPr="001167D3">
              <w:rPr>
                <w:rFonts w:ascii="Arial" w:eastAsia="Times New Roman" w:hAnsi="Arial" w:cs="Arial"/>
              </w:rPr>
              <w:t>Explanation of econometric tests studied</w:t>
            </w:r>
          </w:p>
        </w:tc>
      </w:tr>
      <w:tr w:rsidR="001167D3" w:rsidRPr="001167D3" w14:paraId="49D704EB" w14:textId="77777777" w:rsidTr="006F128B">
        <w:trPr>
          <w:cnfStyle w:val="000000100000" w:firstRow="0" w:lastRow="0" w:firstColumn="0" w:lastColumn="0" w:oddVBand="0" w:evenVBand="0" w:oddHBand="1" w:evenHBand="0" w:firstRowFirstColumn="0" w:firstRowLastColumn="0" w:lastRowFirstColumn="0" w:lastRowLastColumn="0"/>
          <w:trHeight w:val="6002"/>
        </w:trPr>
        <w:tc>
          <w:tcPr>
            <w:tcW w:w="7195" w:type="dxa"/>
            <w:vAlign w:val="center"/>
            <w:hideMark/>
          </w:tcPr>
          <w:p w14:paraId="60D62362" w14:textId="45D81CE3" w:rsidR="001167D3" w:rsidRPr="001167D3" w:rsidRDefault="001167D3" w:rsidP="0070370F">
            <w:pPr>
              <w:rPr>
                <w:rFonts w:ascii="Arial" w:eastAsia="Times New Roman" w:hAnsi="Arial" w:cs="Arial"/>
              </w:rPr>
            </w:pPr>
            <w:r w:rsidRPr="001167D3">
              <w:rPr>
                <w:rFonts w:ascii="Arial" w:eastAsia="Times New Roman" w:hAnsi="Arial" w:cs="Arial"/>
              </w:rPr>
              <w:t xml:space="preserve">OLS: Ordinary least </w:t>
            </w:r>
            <w:r w:rsidR="0070370F" w:rsidRPr="0070370F">
              <w:rPr>
                <w:rFonts w:ascii="Arial" w:eastAsia="Times New Roman" w:hAnsi="Arial" w:cs="Arial"/>
              </w:rPr>
              <w:t>s</w:t>
            </w:r>
            <w:r w:rsidRPr="001167D3">
              <w:rPr>
                <w:rFonts w:ascii="Arial" w:eastAsia="Times New Roman" w:hAnsi="Arial" w:cs="Arial"/>
              </w:rPr>
              <w:t>quares regression model</w:t>
            </w:r>
            <w:r w:rsidRPr="001167D3">
              <w:rPr>
                <w:rFonts w:ascii="Arial" w:eastAsia="Times New Roman" w:hAnsi="Arial" w:cs="Arial"/>
              </w:rPr>
              <w:br/>
              <w:t>GLS: Generalized east squares regression model</w:t>
            </w:r>
            <w:r w:rsidRPr="001167D3">
              <w:rPr>
                <w:rFonts w:ascii="Arial" w:eastAsia="Times New Roman" w:hAnsi="Arial" w:cs="Arial"/>
              </w:rPr>
              <w:br/>
              <w:t>AR: Autoregressive model</w:t>
            </w:r>
            <w:r w:rsidRPr="001167D3">
              <w:rPr>
                <w:rFonts w:ascii="Arial" w:eastAsia="Times New Roman" w:hAnsi="Arial" w:cs="Arial"/>
              </w:rPr>
              <w:br/>
              <w:t>VAR: Vector autoregressive model</w:t>
            </w:r>
            <w:r w:rsidRPr="001167D3">
              <w:rPr>
                <w:rFonts w:ascii="Arial" w:eastAsia="Times New Roman" w:hAnsi="Arial" w:cs="Arial"/>
              </w:rPr>
              <w:br/>
              <w:t>MA: Moving average model</w:t>
            </w:r>
            <w:r w:rsidRPr="001167D3">
              <w:rPr>
                <w:rFonts w:ascii="Arial" w:eastAsia="Times New Roman" w:hAnsi="Arial" w:cs="Arial"/>
              </w:rPr>
              <w:br/>
              <w:t>ARMA: Autoregressive moving average model</w:t>
            </w:r>
            <w:r w:rsidRPr="001167D3">
              <w:rPr>
                <w:rFonts w:ascii="Arial" w:eastAsia="Times New Roman" w:hAnsi="Arial" w:cs="Arial"/>
              </w:rPr>
              <w:br/>
              <w:t>ADL: Autoregressive distributed lag model</w:t>
            </w:r>
            <w:r w:rsidRPr="001167D3">
              <w:rPr>
                <w:rFonts w:ascii="Arial" w:eastAsia="Times New Roman" w:hAnsi="Arial" w:cs="Arial"/>
              </w:rPr>
              <w:br/>
              <w:t>ARCH: Autoregressive distributed conditional heteroskedasticity model</w:t>
            </w:r>
            <w:r w:rsidRPr="001167D3">
              <w:rPr>
                <w:rFonts w:ascii="Arial" w:eastAsia="Times New Roman" w:hAnsi="Arial" w:cs="Arial"/>
              </w:rPr>
              <w:br/>
              <w:t>GARCH: Generalized autoregressive distributed conditional heteroskedasticity model</w:t>
            </w:r>
            <w:r w:rsidRPr="001167D3">
              <w:rPr>
                <w:rFonts w:ascii="Arial" w:eastAsia="Times New Roman" w:hAnsi="Arial" w:cs="Arial"/>
              </w:rPr>
              <w:br/>
              <w:t>2SLS: Two stage least squared model</w:t>
            </w:r>
            <w:r w:rsidRPr="001167D3">
              <w:rPr>
                <w:rFonts w:ascii="Arial" w:eastAsia="Times New Roman" w:hAnsi="Arial" w:cs="Arial"/>
              </w:rPr>
              <w:br/>
              <w:t>GMM: Generalized method of moments</w:t>
            </w:r>
            <w:r w:rsidRPr="001167D3">
              <w:rPr>
                <w:rFonts w:ascii="Arial" w:eastAsia="Times New Roman" w:hAnsi="Arial" w:cs="Arial"/>
              </w:rPr>
              <w:br/>
              <w:t>SEM: Structural Equation Modeling for cross-sectional variation</w:t>
            </w:r>
            <w:r w:rsidRPr="001167D3">
              <w:rPr>
                <w:rFonts w:ascii="Arial" w:eastAsia="Times New Roman" w:hAnsi="Arial" w:cs="Arial"/>
              </w:rPr>
              <w:br/>
              <w:t>IV: Instrumental variables</w:t>
            </w:r>
            <w:r w:rsidRPr="001167D3">
              <w:rPr>
                <w:rFonts w:ascii="Arial" w:eastAsia="Times New Roman" w:hAnsi="Arial" w:cs="Arial"/>
              </w:rPr>
              <w:br/>
              <w:t>Step ahead forecast:</w:t>
            </w:r>
            <w:r w:rsidRPr="001167D3">
              <w:rPr>
                <w:rFonts w:ascii="Arial" w:eastAsia="Times New Roman" w:hAnsi="Arial" w:cs="Arial"/>
              </w:rPr>
              <w:br/>
              <w:t>MLE: Maximum likelihood estimation</w:t>
            </w:r>
            <w:r w:rsidRPr="001167D3">
              <w:rPr>
                <w:rFonts w:ascii="Arial" w:eastAsia="Times New Roman" w:hAnsi="Arial" w:cs="Arial"/>
              </w:rPr>
              <w:br/>
              <w:t>Anderson-Hsiao estimators</w:t>
            </w:r>
            <w:r w:rsidRPr="001167D3">
              <w:rPr>
                <w:rFonts w:ascii="Arial" w:eastAsia="Times New Roman" w:hAnsi="Arial" w:cs="Arial"/>
              </w:rPr>
              <w:br/>
              <w:t>Arellano-Bond difference GMM estimator</w:t>
            </w:r>
            <w:r w:rsidRPr="001167D3">
              <w:rPr>
                <w:rFonts w:ascii="Arial" w:eastAsia="Times New Roman" w:hAnsi="Arial" w:cs="Arial"/>
              </w:rPr>
              <w:br/>
              <w:t>CAPM: Capital asset pricing model</w:t>
            </w:r>
            <w:r w:rsidRPr="001167D3">
              <w:rPr>
                <w:rFonts w:ascii="Arial" w:eastAsia="Times New Roman" w:hAnsi="Arial" w:cs="Arial"/>
              </w:rPr>
              <w:br/>
              <w:t>DID &amp; Anderson-Hsiao: Difference in difference model in lieu of experiment</w:t>
            </w:r>
            <w:r w:rsidRPr="001167D3">
              <w:rPr>
                <w:rFonts w:ascii="Arial" w:eastAsia="Times New Roman" w:hAnsi="Arial" w:cs="Arial"/>
              </w:rPr>
              <w:br/>
              <w:t xml:space="preserve">Probit, Logit, and </w:t>
            </w:r>
            <w:proofErr w:type="spellStart"/>
            <w:r w:rsidRPr="001167D3">
              <w:rPr>
                <w:rFonts w:ascii="Arial" w:eastAsia="Times New Roman" w:hAnsi="Arial" w:cs="Arial"/>
              </w:rPr>
              <w:t>Togit</w:t>
            </w:r>
            <w:proofErr w:type="spellEnd"/>
            <w:r w:rsidRPr="001167D3">
              <w:rPr>
                <w:rFonts w:ascii="Arial" w:eastAsia="Times New Roman" w:hAnsi="Arial" w:cs="Arial"/>
              </w:rPr>
              <w:t xml:space="preserve"> models for categorical variables.</w:t>
            </w:r>
            <w:r w:rsidRPr="001167D3">
              <w:rPr>
                <w:rFonts w:ascii="Arial" w:eastAsia="Times New Roman" w:hAnsi="Arial" w:cs="Arial"/>
              </w:rPr>
              <w:br/>
              <w:t>Fixed effects and random effects models for panel data</w:t>
            </w:r>
          </w:p>
        </w:tc>
        <w:tc>
          <w:tcPr>
            <w:tcW w:w="7020" w:type="dxa"/>
            <w:vAlign w:val="center"/>
            <w:hideMark/>
          </w:tcPr>
          <w:p w14:paraId="6FA3CBE1" w14:textId="35AEA9AB" w:rsidR="005D5FCC" w:rsidRDefault="001F0008" w:rsidP="0070370F">
            <w:pPr>
              <w:rPr>
                <w:rFonts w:ascii="Arial" w:eastAsia="Times New Roman" w:hAnsi="Arial" w:cs="Arial"/>
              </w:rPr>
            </w:pPr>
            <w:r>
              <w:rPr>
                <w:rFonts w:ascii="Arial" w:eastAsia="Times New Roman" w:hAnsi="Arial" w:cs="Arial"/>
              </w:rPr>
              <w:t>t</w:t>
            </w:r>
            <w:r w:rsidR="005D5FCC">
              <w:rPr>
                <w:rFonts w:ascii="Arial" w:eastAsia="Times New Roman" w:hAnsi="Arial" w:cs="Arial"/>
              </w:rPr>
              <w:t xml:space="preserve"> test</w:t>
            </w:r>
            <w:r w:rsidR="00875BA9">
              <w:rPr>
                <w:rFonts w:ascii="Arial" w:eastAsia="Times New Roman" w:hAnsi="Arial" w:cs="Arial"/>
              </w:rPr>
              <w:t xml:space="preserve"> for</w:t>
            </w:r>
            <w:r w:rsidR="002F7740">
              <w:rPr>
                <w:rFonts w:ascii="Arial" w:eastAsia="Times New Roman" w:hAnsi="Arial" w:cs="Arial"/>
              </w:rPr>
              <w:t xml:space="preserve"> hypothesis testing</w:t>
            </w:r>
          </w:p>
          <w:p w14:paraId="76049768" w14:textId="4369FDC4" w:rsidR="00875BA9" w:rsidRDefault="00875BA9" w:rsidP="0070370F">
            <w:pPr>
              <w:rPr>
                <w:rFonts w:ascii="Arial" w:eastAsia="Times New Roman" w:hAnsi="Arial" w:cs="Arial"/>
              </w:rPr>
            </w:pPr>
            <w:r>
              <w:rPr>
                <w:rFonts w:ascii="Arial" w:eastAsia="Times New Roman" w:hAnsi="Arial" w:cs="Arial"/>
              </w:rPr>
              <w:t>Chi2 test</w:t>
            </w:r>
            <w:r w:rsidR="00042C4B">
              <w:rPr>
                <w:rFonts w:ascii="Arial" w:eastAsia="Times New Roman" w:hAnsi="Arial" w:cs="Arial"/>
              </w:rPr>
              <w:t xml:space="preserve"> for hypothesis testing</w:t>
            </w:r>
          </w:p>
          <w:p w14:paraId="1218508E" w14:textId="1049C267" w:rsidR="001167D3" w:rsidRPr="001167D3" w:rsidRDefault="001167D3" w:rsidP="0070370F">
            <w:pPr>
              <w:rPr>
                <w:rFonts w:ascii="Arial" w:eastAsia="Times New Roman" w:hAnsi="Arial" w:cs="Arial"/>
              </w:rPr>
            </w:pPr>
            <w:r w:rsidRPr="001167D3">
              <w:rPr>
                <w:rFonts w:ascii="Arial" w:eastAsia="Times New Roman" w:hAnsi="Arial" w:cs="Arial"/>
              </w:rPr>
              <w:t>White test: for heteroskedasticity</w:t>
            </w:r>
            <w:r w:rsidRPr="001167D3">
              <w:rPr>
                <w:rFonts w:ascii="Arial" w:eastAsia="Times New Roman" w:hAnsi="Arial" w:cs="Arial"/>
              </w:rPr>
              <w:br/>
              <w:t>Breusch-Pagan test for heteroskedasticity</w:t>
            </w:r>
            <w:r w:rsidRPr="001167D3">
              <w:rPr>
                <w:rFonts w:ascii="Arial" w:eastAsia="Times New Roman" w:hAnsi="Arial" w:cs="Arial"/>
              </w:rPr>
              <w:br/>
              <w:t>Cook-</w:t>
            </w:r>
            <w:proofErr w:type="spellStart"/>
            <w:r w:rsidRPr="001167D3">
              <w:rPr>
                <w:rFonts w:ascii="Arial" w:eastAsia="Times New Roman" w:hAnsi="Arial" w:cs="Arial"/>
              </w:rPr>
              <w:t>Weisbert</w:t>
            </w:r>
            <w:proofErr w:type="spellEnd"/>
            <w:r w:rsidRPr="001167D3">
              <w:rPr>
                <w:rFonts w:ascii="Arial" w:eastAsia="Times New Roman" w:hAnsi="Arial" w:cs="Arial"/>
              </w:rPr>
              <w:t xml:space="preserve"> test for heteroskedasticity</w:t>
            </w:r>
            <w:r w:rsidRPr="001167D3">
              <w:rPr>
                <w:rFonts w:ascii="Arial" w:eastAsia="Times New Roman" w:hAnsi="Arial" w:cs="Arial"/>
              </w:rPr>
              <w:br/>
              <w:t>Durban Watson test for autocorrelation(serial correlation) in residuals</w:t>
            </w:r>
            <w:r w:rsidRPr="001167D3">
              <w:rPr>
                <w:rFonts w:ascii="Arial" w:eastAsia="Times New Roman" w:hAnsi="Arial" w:cs="Arial"/>
              </w:rPr>
              <w:br/>
            </w:r>
            <w:proofErr w:type="spellStart"/>
            <w:r w:rsidRPr="001167D3">
              <w:rPr>
                <w:rFonts w:ascii="Arial" w:eastAsia="Times New Roman" w:hAnsi="Arial" w:cs="Arial"/>
              </w:rPr>
              <w:t>Breush</w:t>
            </w:r>
            <w:proofErr w:type="spellEnd"/>
            <w:r w:rsidRPr="001167D3">
              <w:rPr>
                <w:rFonts w:ascii="Arial" w:eastAsia="Times New Roman" w:hAnsi="Arial" w:cs="Arial"/>
              </w:rPr>
              <w:t>-Godfrey test for autocorrelation(serial correlation) in residuals</w:t>
            </w:r>
            <w:r w:rsidRPr="001167D3">
              <w:rPr>
                <w:rFonts w:ascii="Arial" w:eastAsia="Times New Roman" w:hAnsi="Arial" w:cs="Arial"/>
              </w:rPr>
              <w:br/>
              <w:t>Granger causality tests which time series predicts the other</w:t>
            </w:r>
            <w:r w:rsidRPr="001167D3">
              <w:rPr>
                <w:rFonts w:ascii="Arial" w:eastAsia="Times New Roman" w:hAnsi="Arial" w:cs="Arial"/>
              </w:rPr>
              <w:br/>
              <w:t>Chow test for structural break in time series</w:t>
            </w:r>
            <w:r w:rsidRPr="001167D3">
              <w:rPr>
                <w:rFonts w:ascii="Arial" w:eastAsia="Times New Roman" w:hAnsi="Arial" w:cs="Arial"/>
              </w:rPr>
              <w:br/>
            </w:r>
            <w:proofErr w:type="spellStart"/>
            <w:r w:rsidRPr="001167D3">
              <w:rPr>
                <w:rFonts w:ascii="Arial" w:eastAsia="Times New Roman" w:hAnsi="Arial" w:cs="Arial"/>
              </w:rPr>
              <w:t>Quandt</w:t>
            </w:r>
            <w:proofErr w:type="spellEnd"/>
            <w:r w:rsidRPr="001167D3">
              <w:rPr>
                <w:rFonts w:ascii="Arial" w:eastAsia="Times New Roman" w:hAnsi="Arial" w:cs="Arial"/>
              </w:rPr>
              <w:t xml:space="preserve"> likelihood ratio test for break in time series when not known</w:t>
            </w:r>
            <w:r w:rsidRPr="001167D3">
              <w:rPr>
                <w:rFonts w:ascii="Arial" w:eastAsia="Times New Roman" w:hAnsi="Arial" w:cs="Arial"/>
              </w:rPr>
              <w:br/>
              <w:t>Hausman test for endogeneity, when one predictor predicts another</w:t>
            </w:r>
            <w:r w:rsidRPr="001167D3">
              <w:rPr>
                <w:rFonts w:ascii="Arial" w:eastAsia="Times New Roman" w:hAnsi="Arial" w:cs="Arial"/>
              </w:rPr>
              <w:br/>
              <w:t>F test for Instrument Variable relevance</w:t>
            </w:r>
            <w:r w:rsidRPr="001167D3">
              <w:rPr>
                <w:rFonts w:ascii="Arial" w:eastAsia="Times New Roman" w:hAnsi="Arial" w:cs="Arial"/>
              </w:rPr>
              <w:br/>
              <w:t>Instrument exogeneity-overidentification test</w:t>
            </w:r>
          </w:p>
        </w:tc>
      </w:tr>
    </w:tbl>
    <w:p w14:paraId="049379F2" w14:textId="28B9FD5A" w:rsidR="00AD03EB" w:rsidRDefault="00AD03EB">
      <w:pPr>
        <w:rPr>
          <w:sz w:val="28"/>
          <w:szCs w:val="28"/>
        </w:rPr>
      </w:pPr>
    </w:p>
    <w:p w14:paraId="023940BA" w14:textId="6974DE65" w:rsidR="00AD03EB" w:rsidRDefault="00AD03EB">
      <w:pPr>
        <w:rPr>
          <w:sz w:val="28"/>
          <w:szCs w:val="28"/>
        </w:rPr>
      </w:pPr>
    </w:p>
    <w:tbl>
      <w:tblPr>
        <w:tblStyle w:val="GridTable4-Accent6"/>
        <w:tblW w:w="14125" w:type="dxa"/>
        <w:tblLayout w:type="fixed"/>
        <w:tblLook w:val="0420" w:firstRow="1" w:lastRow="0" w:firstColumn="0" w:lastColumn="0" w:noHBand="0" w:noVBand="1"/>
      </w:tblPr>
      <w:tblGrid>
        <w:gridCol w:w="1795"/>
        <w:gridCol w:w="10980"/>
        <w:gridCol w:w="1350"/>
      </w:tblGrid>
      <w:tr w:rsidR="00F36CE8" w14:paraId="7D108FFF" w14:textId="77777777" w:rsidTr="004E3F60">
        <w:trPr>
          <w:cnfStyle w:val="100000000000" w:firstRow="1" w:lastRow="0" w:firstColumn="0" w:lastColumn="0" w:oddVBand="0" w:evenVBand="0" w:oddHBand="0" w:evenHBand="0" w:firstRowFirstColumn="0" w:firstRowLastColumn="0" w:lastRowFirstColumn="0" w:lastRowLastColumn="0"/>
          <w:cantSplit/>
          <w:tblHeader/>
        </w:trPr>
        <w:tc>
          <w:tcPr>
            <w:tcW w:w="1795" w:type="dxa"/>
          </w:tcPr>
          <w:p w14:paraId="2474A053" w14:textId="3A698A31" w:rsidR="00F36CE8" w:rsidRDefault="00A04964">
            <w:r>
              <w:lastRenderedPageBreak/>
              <w:t>Class</w:t>
            </w:r>
          </w:p>
        </w:tc>
        <w:tc>
          <w:tcPr>
            <w:tcW w:w="10980" w:type="dxa"/>
          </w:tcPr>
          <w:p w14:paraId="29375D2E" w14:textId="7D257100" w:rsidR="00F36CE8" w:rsidRDefault="00F36CE8">
            <w:r>
              <w:t>Description</w:t>
            </w:r>
          </w:p>
        </w:tc>
        <w:tc>
          <w:tcPr>
            <w:tcW w:w="1350" w:type="dxa"/>
          </w:tcPr>
          <w:p w14:paraId="4BFE7D0F" w14:textId="25916873" w:rsidR="00F36CE8" w:rsidRDefault="00F36CE8">
            <w:r>
              <w:t>Date</w:t>
            </w:r>
          </w:p>
        </w:tc>
      </w:tr>
      <w:tr w:rsidR="00FD2AB2" w14:paraId="56D5053D" w14:textId="77777777" w:rsidTr="004E3F60">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0479B3D4" w14:textId="2FDB8B0A" w:rsidR="00FD2AB2" w:rsidRDefault="00A51676" w:rsidP="00AA56E1">
            <w:r>
              <w:t>Publication</w:t>
            </w:r>
            <w:r w:rsidR="00E16791">
              <w:t xml:space="preserve"> </w:t>
            </w:r>
            <w:r>
              <w:t>/</w:t>
            </w:r>
            <w:r w:rsidR="00E16791">
              <w:t xml:space="preserve"> </w:t>
            </w:r>
            <w:r w:rsidR="00796BDB">
              <w:t>Capstone Project</w:t>
            </w:r>
          </w:p>
        </w:tc>
        <w:tc>
          <w:tcPr>
            <w:tcW w:w="10980" w:type="dxa"/>
            <w:vAlign w:val="center"/>
          </w:tcPr>
          <w:p w14:paraId="6E503393" w14:textId="77777777" w:rsidR="00FD2AB2" w:rsidRDefault="00796BDB" w:rsidP="00AA56E1">
            <w:r>
              <w:t>Did banking deregulation improve or worsen minority access to capital?</w:t>
            </w:r>
          </w:p>
          <w:p w14:paraId="4BF47F31" w14:textId="15D779C7" w:rsidR="00201533" w:rsidRDefault="002D5C82" w:rsidP="00AA56E1">
            <w:hyperlink r:id="rId6" w:history="1">
              <w:r w:rsidR="00201533" w:rsidRPr="00993B79">
                <w:rPr>
                  <w:rStyle w:val="Hyperlink"/>
                </w:rPr>
                <w:t>https://www.linkedin.com/posts/jgfcpa_deregulation-and-minority-access-to-mortgage-ugcPost-6675029994177224704-VdSV</w:t>
              </w:r>
            </w:hyperlink>
          </w:p>
        </w:tc>
        <w:tc>
          <w:tcPr>
            <w:tcW w:w="1350" w:type="dxa"/>
            <w:vAlign w:val="center"/>
          </w:tcPr>
          <w:p w14:paraId="7DC056F6" w14:textId="7ECF1D88" w:rsidR="00FD2AB2" w:rsidRDefault="00A51676" w:rsidP="00AA56E1">
            <w:r>
              <w:t>December 2018</w:t>
            </w:r>
          </w:p>
        </w:tc>
      </w:tr>
      <w:tr w:rsidR="00FD2AB2" w14:paraId="79B92B22" w14:textId="77777777" w:rsidTr="004E3F60">
        <w:tc>
          <w:tcPr>
            <w:tcW w:w="1795" w:type="dxa"/>
            <w:vAlign w:val="center"/>
          </w:tcPr>
          <w:p w14:paraId="4536E853" w14:textId="62BD0A35" w:rsidR="00FD2AB2" w:rsidRDefault="00865443" w:rsidP="00AA56E1">
            <w:r>
              <w:t>Applied Public Economics</w:t>
            </w:r>
            <w:r w:rsidR="00F36CE8">
              <w:t xml:space="preserve"> – Econ 545</w:t>
            </w:r>
          </w:p>
        </w:tc>
        <w:tc>
          <w:tcPr>
            <w:tcW w:w="10980" w:type="dxa"/>
            <w:vAlign w:val="center"/>
          </w:tcPr>
          <w:p w14:paraId="6C44C8FD" w14:textId="245C8A78" w:rsidR="0004078B" w:rsidRDefault="0004078B" w:rsidP="0004078B">
            <w:r>
              <w:t xml:space="preserve">Randomized experiments and the "Gold Standard" internal and external validity, the conditional expectation function (CEF) and the regression model. Best predictor, linear projection model and the best linear predictor and counterfactuals and the "fundamental problem of causal inference". Studied identification of causal effects under strong ignorability and the conditional independence or unconfoundedness assumption. Discussion of causal </w:t>
            </w:r>
            <w:proofErr w:type="spellStart"/>
            <w:r>
              <w:t>estimands</w:t>
            </w:r>
            <w:proofErr w:type="spellEnd"/>
            <w:r>
              <w:t xml:space="preserve"> (ATE, ATET, LATE). Studied model identification problems via over identification test of a model, introduced the </w:t>
            </w:r>
            <w:proofErr w:type="spellStart"/>
            <w:r>
              <w:t>Neyman</w:t>
            </w:r>
            <w:proofErr w:type="spellEnd"/>
            <w:r>
              <w:t>-Rubin Potential Outcomes Framework. Studied endogeneity and Instrumental Variables (IV's), static panel data models, estimation and inference, the overlap assumption, regression adjustment, propensity score methods, matching methods, and identification of causal effects when strong ignorability does not hold. Studied methods of searching for causality by a more detailed discussion of identifying assumptions, SUTVA, exogeneity issues, Instrumental variables (IV) methods, control function approaches, difference-in-differences, regression discontinuity design: both "Sharp" and "Fuzzy", and various applications and discussion of falsification checks.</w:t>
            </w:r>
          </w:p>
          <w:p w14:paraId="667B98F5" w14:textId="25DF7FFB" w:rsidR="00F36CE8" w:rsidRPr="0029268B" w:rsidRDefault="0004078B" w:rsidP="0004078B">
            <w:pPr>
              <w:rPr>
                <w:b/>
                <w:bCs/>
              </w:rPr>
            </w:pPr>
            <w:r w:rsidRPr="0029268B">
              <w:rPr>
                <w:b/>
                <w:bCs/>
              </w:rPr>
              <w:t xml:space="preserve">TEXT: Mostly Harmless Econometrics. Angrist and </w:t>
            </w:r>
            <w:proofErr w:type="spellStart"/>
            <w:r w:rsidRPr="0029268B">
              <w:rPr>
                <w:b/>
                <w:bCs/>
              </w:rPr>
              <w:t>Piskhke</w:t>
            </w:r>
            <w:proofErr w:type="spellEnd"/>
          </w:p>
        </w:tc>
        <w:tc>
          <w:tcPr>
            <w:tcW w:w="1350" w:type="dxa"/>
            <w:vAlign w:val="center"/>
          </w:tcPr>
          <w:p w14:paraId="2EA7E2EB" w14:textId="080AB3B5" w:rsidR="00FD2AB2" w:rsidRDefault="000446DD" w:rsidP="00AA56E1">
            <w:r>
              <w:t>Spring 2019</w:t>
            </w:r>
          </w:p>
        </w:tc>
      </w:tr>
      <w:tr w:rsidR="00FD2AB2" w14:paraId="7A48E24D" w14:textId="77777777" w:rsidTr="004E3F60">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4FB8A86B" w14:textId="21658500" w:rsidR="005F6582" w:rsidRDefault="00270E8C" w:rsidP="00AA56E1">
            <w:r>
              <w:t>Demographic methods for economists – Econ 565</w:t>
            </w:r>
          </w:p>
        </w:tc>
        <w:tc>
          <w:tcPr>
            <w:tcW w:w="10980" w:type="dxa"/>
            <w:vAlign w:val="center"/>
          </w:tcPr>
          <w:p w14:paraId="7A61AB46" w14:textId="77777777" w:rsidR="00B53959" w:rsidRDefault="00B53959" w:rsidP="00B53959">
            <w:r>
              <w:t xml:space="preserve">Surveyed data sources. Used STATA to graph population structures. Studied life tables, standardizing population data for comparisons, the three fundamental demographic processes (fertility, mortality, and migration), growth rates, population projection methods, developing social science questions and relationship to economic analysis, and policy effects of demographic processes, </w:t>
            </w:r>
          </w:p>
          <w:p w14:paraId="7A21EE74" w14:textId="0FF48A94" w:rsidR="00FD2AB2" w:rsidRPr="00B53959" w:rsidRDefault="00B53959" w:rsidP="00B53959">
            <w:pPr>
              <w:rPr>
                <w:b/>
                <w:bCs/>
              </w:rPr>
            </w:pPr>
            <w:r w:rsidRPr="00B53959">
              <w:rPr>
                <w:b/>
                <w:bCs/>
              </w:rPr>
              <w:t>Text: Newell, Colin, Methods &amp; Models in Demography, First Edition, The Guilford Press (1990). ISBN: 9780898624519</w:t>
            </w:r>
          </w:p>
        </w:tc>
        <w:tc>
          <w:tcPr>
            <w:tcW w:w="1350" w:type="dxa"/>
            <w:vAlign w:val="center"/>
          </w:tcPr>
          <w:p w14:paraId="02C5D354" w14:textId="3F614843" w:rsidR="00FD2AB2" w:rsidRDefault="001B55FB" w:rsidP="00AA56E1">
            <w:r>
              <w:t>Summer 2018</w:t>
            </w:r>
          </w:p>
        </w:tc>
      </w:tr>
      <w:tr w:rsidR="00FD2AB2" w14:paraId="5729C211" w14:textId="77777777" w:rsidTr="004E3F60">
        <w:tc>
          <w:tcPr>
            <w:tcW w:w="1795" w:type="dxa"/>
            <w:vAlign w:val="center"/>
          </w:tcPr>
          <w:p w14:paraId="591EAB4B" w14:textId="2A2F071A" w:rsidR="00FD2AB2" w:rsidRDefault="007F7B5C" w:rsidP="00AA56E1">
            <w:r>
              <w:t>Topics in applied econ</w:t>
            </w:r>
            <w:r w:rsidR="006A4D15">
              <w:t>ometrics - Econ 510</w:t>
            </w:r>
          </w:p>
        </w:tc>
        <w:tc>
          <w:tcPr>
            <w:tcW w:w="10980" w:type="dxa"/>
            <w:vAlign w:val="center"/>
          </w:tcPr>
          <w:p w14:paraId="25E389D1" w14:textId="77777777" w:rsidR="004B61A1" w:rsidRDefault="004B61A1" w:rsidP="004B61A1">
            <w:r>
              <w:t xml:space="preserve">Time series models in financial markets were primary focus. Studied regressions using OLS, MLE, IV, GMM, AR, MA, ARMA, ARCH, GARCH, and </w:t>
            </w:r>
            <w:proofErr w:type="spellStart"/>
            <w:r>
              <w:t>Fama</w:t>
            </w:r>
            <w:proofErr w:type="spellEnd"/>
            <w:r>
              <w:t xml:space="preserve">-French model. Studied problems of stationarity, random walk, breaks in time series, unit root, </w:t>
            </w:r>
            <w:proofErr w:type="gramStart"/>
            <w:r>
              <w:t>autocorrelation</w:t>
            </w:r>
            <w:proofErr w:type="gramEnd"/>
            <w:r>
              <w:t xml:space="preserve"> and partial autocorrelation. Studied movements of asset prices, market efficiency, model selection, distributed lag model, and analyzed with granger causality test, F-test, cross-sectional tests, Freson Harvey model for calculating alphas by industry, risk factors in security market, and the effect of investor sentiment on security prices, benchmark asset pricing models, Sharpe ratio, statistical properties of asset returns and the efficient markets hypothesis, empirical tests of asset pricing models (CAPM, APT, Intertemporal CAPM, Consumption CAPM), tests of conditional asset pricing models, value-at-risk models, models of time-varying expected returns and then consider models of time-varying risk, model returns and risk of multiple assets. Studied the matrix algebra behind Beta.</w:t>
            </w:r>
          </w:p>
          <w:p w14:paraId="252ADAAA" w14:textId="77777777" w:rsidR="004B61A1" w:rsidRPr="004B61A1" w:rsidRDefault="004B61A1" w:rsidP="004B61A1">
            <w:pPr>
              <w:rPr>
                <w:b/>
                <w:bCs/>
              </w:rPr>
            </w:pPr>
            <w:r w:rsidRPr="004B61A1">
              <w:rPr>
                <w:b/>
                <w:bCs/>
              </w:rPr>
              <w:t>Text: Financial Econometric Modelling by Stan Horn, Vance Martin, Peter Phillips and Jun Yu (</w:t>
            </w:r>
            <w:proofErr w:type="gramStart"/>
            <w:r w:rsidRPr="004B61A1">
              <w:rPr>
                <w:b/>
                <w:bCs/>
              </w:rPr>
              <w:t>Nov,</w:t>
            </w:r>
            <w:proofErr w:type="gramEnd"/>
            <w:r w:rsidRPr="004B61A1">
              <w:rPr>
                <w:b/>
                <w:bCs/>
              </w:rPr>
              <w:t xml:space="preserve"> 2015)</w:t>
            </w:r>
          </w:p>
          <w:p w14:paraId="78136706" w14:textId="77777777" w:rsidR="004B61A1" w:rsidRPr="004B61A1" w:rsidRDefault="004B61A1" w:rsidP="004B61A1">
            <w:pPr>
              <w:rPr>
                <w:b/>
                <w:bCs/>
              </w:rPr>
            </w:pPr>
            <w:r w:rsidRPr="004B61A1">
              <w:rPr>
                <w:b/>
                <w:bCs/>
              </w:rPr>
              <w:t>(2) Empirical Asset Pricing by Turin Bali, Robert Engle, and Scott Murray.</w:t>
            </w:r>
          </w:p>
          <w:p w14:paraId="089E4ED1" w14:textId="70B8A3C2" w:rsidR="00FD2AB2" w:rsidRDefault="004B61A1" w:rsidP="004B61A1">
            <w:r w:rsidRPr="004B61A1">
              <w:rPr>
                <w:b/>
                <w:bCs/>
              </w:rPr>
              <w:t>Publisher: Wiley; 1st edition (</w:t>
            </w:r>
            <w:proofErr w:type="gramStart"/>
            <w:r w:rsidRPr="004B61A1">
              <w:rPr>
                <w:b/>
                <w:bCs/>
              </w:rPr>
              <w:t>April,</w:t>
            </w:r>
            <w:proofErr w:type="gramEnd"/>
            <w:r w:rsidRPr="004B61A1">
              <w:rPr>
                <w:b/>
                <w:bCs/>
              </w:rPr>
              <w:t xml:space="preserve"> 2016, ISBN-13: 978-1118095041)</w:t>
            </w:r>
          </w:p>
        </w:tc>
        <w:tc>
          <w:tcPr>
            <w:tcW w:w="1350" w:type="dxa"/>
            <w:vAlign w:val="center"/>
          </w:tcPr>
          <w:p w14:paraId="3C4250FD" w14:textId="212EB688" w:rsidR="00FD2AB2" w:rsidRDefault="00D53EF0" w:rsidP="00AA56E1">
            <w:r>
              <w:t>Spring 20</w:t>
            </w:r>
            <w:r w:rsidR="00263599">
              <w:t>1</w:t>
            </w:r>
            <w:r>
              <w:t>8</w:t>
            </w:r>
          </w:p>
        </w:tc>
      </w:tr>
      <w:tr w:rsidR="00FD2AB2" w14:paraId="5968C33C" w14:textId="77777777" w:rsidTr="004E3F60">
        <w:trPr>
          <w:cnfStyle w:val="000000100000" w:firstRow="0" w:lastRow="0" w:firstColumn="0" w:lastColumn="0" w:oddVBand="0" w:evenVBand="0" w:oddHBand="1" w:evenHBand="0" w:firstRowFirstColumn="0" w:firstRowLastColumn="0" w:lastRowFirstColumn="0" w:lastRowLastColumn="0"/>
        </w:trPr>
        <w:tc>
          <w:tcPr>
            <w:tcW w:w="1795" w:type="dxa"/>
            <w:vAlign w:val="center"/>
          </w:tcPr>
          <w:p w14:paraId="7806DCF1" w14:textId="5E24EFA8" w:rsidR="00FD2AB2" w:rsidRDefault="00702B9D" w:rsidP="00AA56E1">
            <w:r>
              <w:lastRenderedPageBreak/>
              <w:t>Applied Economic Analysis – Econ 534</w:t>
            </w:r>
          </w:p>
        </w:tc>
        <w:tc>
          <w:tcPr>
            <w:tcW w:w="10980" w:type="dxa"/>
            <w:vAlign w:val="center"/>
          </w:tcPr>
          <w:p w14:paraId="5FB57847" w14:textId="77777777" w:rsidR="00AA5EB7" w:rsidRDefault="00AA5EB7" w:rsidP="00AA5EB7">
            <w:r>
              <w:t xml:space="preserve">Study of cross sectional, time series, and panel data. Interpreting coefficients of OLS, GLS, limited dependent variable models logit and </w:t>
            </w:r>
            <w:proofErr w:type="spellStart"/>
            <w:r>
              <w:t>probit</w:t>
            </w:r>
            <w:proofErr w:type="spellEnd"/>
            <w:r>
              <w:t xml:space="preserve">, pooled OLS estimator, </w:t>
            </w:r>
            <w:proofErr w:type="spellStart"/>
            <w:r>
              <w:t>tobit</w:t>
            </w:r>
            <w:proofErr w:type="spellEnd"/>
            <w:r>
              <w:t>, Heckman sample section models, one and two way fixed effects models, random effects models,  IV models for panel data, difference in difference estimation, general IV regression model, and 2SLS estimation using goodness of fit, marginal effects, fixed versus random effects test, and causality test. Search for best model using all subset regression, stepwise regression, and Bayesian model averaging. Compared models using Bayes factors, Hausman test, instrument relevance test, instrument exogeneity-overidentification test. Studied bias in OLS, order condition with time series, SEM with time series and panel data, Anderson-Hsiao estimators, GMM, Arellano-Bond difference GMM estimator, diagnostic test for autocorrelation, collinearity, and overidentification, interaction variables, heteroskedasticity, omitted variable bias problem, latent variables, significance interpretations, and predictions. Used STATA to perform regressions and tests.</w:t>
            </w:r>
          </w:p>
          <w:p w14:paraId="4FD42464" w14:textId="77777777" w:rsidR="00AA5EB7" w:rsidRPr="00AA5EB7" w:rsidRDefault="00AA5EB7" w:rsidP="00AA5EB7">
            <w:pPr>
              <w:rPr>
                <w:b/>
                <w:bCs/>
              </w:rPr>
            </w:pPr>
            <w:r w:rsidRPr="00AA5EB7">
              <w:rPr>
                <w:b/>
                <w:bCs/>
              </w:rPr>
              <w:t>Text: Berndt, E. R., 1991. The Practice of Econometrics: Classic and Contemporary, New York: Addison Wesley. ISBN 0‐201‐17628‐9</w:t>
            </w:r>
          </w:p>
          <w:p w14:paraId="1885000D" w14:textId="77777777" w:rsidR="00AA5EB7" w:rsidRPr="00AA5EB7" w:rsidRDefault="00AA5EB7" w:rsidP="00AA5EB7">
            <w:pPr>
              <w:rPr>
                <w:b/>
                <w:bCs/>
              </w:rPr>
            </w:pPr>
            <w:r w:rsidRPr="00AA5EB7">
              <w:rPr>
                <w:b/>
                <w:bCs/>
              </w:rPr>
              <w:t>Text: Stock, J.H., and M. W. Watson. 2003. Introduction to Econometrics, New York: Addison Wesley. ISBN 0‐201‐71595‐3.</w:t>
            </w:r>
          </w:p>
          <w:p w14:paraId="3A56F06E" w14:textId="415F9F88" w:rsidR="00FD2AB2" w:rsidRDefault="00AA5EB7" w:rsidP="00AA5EB7">
            <w:r w:rsidRPr="00AA5EB7">
              <w:rPr>
                <w:b/>
                <w:bCs/>
              </w:rPr>
              <w:t>Text: Wooldridge, J. M. 2006. Introductory Econometrics, Mason, OH: Thompson South‐Western. ISBN 0‐324‐28978‐2</w:t>
            </w:r>
          </w:p>
        </w:tc>
        <w:tc>
          <w:tcPr>
            <w:tcW w:w="1350" w:type="dxa"/>
            <w:vAlign w:val="center"/>
          </w:tcPr>
          <w:p w14:paraId="34526E93" w14:textId="49CB068A" w:rsidR="00FD2AB2" w:rsidRDefault="006D39DE" w:rsidP="00AA56E1">
            <w:r>
              <w:t>Fall 2017</w:t>
            </w:r>
          </w:p>
        </w:tc>
      </w:tr>
      <w:tr w:rsidR="00FD2AB2" w14:paraId="3A855ACB" w14:textId="77777777" w:rsidTr="004E3F60">
        <w:trPr>
          <w:cantSplit/>
        </w:trPr>
        <w:tc>
          <w:tcPr>
            <w:tcW w:w="1795" w:type="dxa"/>
            <w:vAlign w:val="center"/>
          </w:tcPr>
          <w:p w14:paraId="2316B9BA" w14:textId="59C9700E" w:rsidR="00FD2AB2" w:rsidRDefault="00341D46" w:rsidP="00AA56E1">
            <w:r>
              <w:t>Advance</w:t>
            </w:r>
            <w:r w:rsidR="004E3F60">
              <w:t>d</w:t>
            </w:r>
            <w:r>
              <w:t xml:space="preserve"> Price Theory – Econ </w:t>
            </w:r>
            <w:r w:rsidR="009137A6">
              <w:t>504</w:t>
            </w:r>
          </w:p>
        </w:tc>
        <w:tc>
          <w:tcPr>
            <w:tcW w:w="10980" w:type="dxa"/>
            <w:vAlign w:val="center"/>
          </w:tcPr>
          <w:p w14:paraId="74BE9968" w14:textId="704C414C" w:rsidR="0064553D" w:rsidRDefault="0064553D" w:rsidP="0064553D">
            <w:r>
              <w:t xml:space="preserve">Theory of the consumer and producer, some basic welfare economics, externalities and monopoly, competitive markets, and other forms of imperfect competition. Preferences and marginal utility, production function, long run cost function, factors of production, diminishing return of a single production factor. Decisions under uncertainty, partial equilibrium analysis, income and substitution effects, demand relationship among goods, optimization problems, Lagrange method, constrained maximization. Elasticity, </w:t>
            </w:r>
            <w:r w:rsidR="00B17701">
              <w:t>Euler’s</w:t>
            </w:r>
            <w:r>
              <w:t xml:space="preserve"> Theorem, </w:t>
            </w:r>
            <w:proofErr w:type="gramStart"/>
            <w:r>
              <w:t>preferences</w:t>
            </w:r>
            <w:proofErr w:type="gramEnd"/>
            <w:r>
              <w:t xml:space="preserve"> and utility, diminishing MRS and diminishing marginal utility, indirect utility function.</w:t>
            </w:r>
          </w:p>
          <w:p w14:paraId="39DFE1BF" w14:textId="4F1015B4" w:rsidR="00FD2AB2" w:rsidRPr="0064553D" w:rsidRDefault="0064553D" w:rsidP="0064553D">
            <w:pPr>
              <w:rPr>
                <w:b/>
                <w:bCs/>
              </w:rPr>
            </w:pPr>
            <w:r w:rsidRPr="0064553D">
              <w:rPr>
                <w:b/>
                <w:bCs/>
              </w:rPr>
              <w:t>Text: Microeconomic Theory Basic Principles and Extensions, 12th Edition by Walter Nicholson &amp; Christopher Snyder</w:t>
            </w:r>
          </w:p>
        </w:tc>
        <w:tc>
          <w:tcPr>
            <w:tcW w:w="1350" w:type="dxa"/>
            <w:vAlign w:val="center"/>
          </w:tcPr>
          <w:p w14:paraId="5CE439AC" w14:textId="6903E0DB" w:rsidR="00FD2AB2" w:rsidRDefault="009137A6" w:rsidP="00AA56E1">
            <w:r>
              <w:t>Fall 2017</w:t>
            </w:r>
          </w:p>
        </w:tc>
      </w:tr>
      <w:tr w:rsidR="00FD2AB2" w14:paraId="0C40C67A" w14:textId="77777777" w:rsidTr="004E3F60">
        <w:trPr>
          <w:cnfStyle w:val="000000100000" w:firstRow="0" w:lastRow="0" w:firstColumn="0" w:lastColumn="0" w:oddVBand="0" w:evenVBand="0" w:oddHBand="1" w:evenHBand="0" w:firstRowFirstColumn="0" w:firstRowLastColumn="0" w:lastRowFirstColumn="0" w:lastRowLastColumn="0"/>
          <w:cantSplit/>
        </w:trPr>
        <w:tc>
          <w:tcPr>
            <w:tcW w:w="1795" w:type="dxa"/>
            <w:vAlign w:val="center"/>
          </w:tcPr>
          <w:p w14:paraId="28F8F963" w14:textId="129B7F65" w:rsidR="00FD2AB2" w:rsidRDefault="00D60758" w:rsidP="00AA56E1">
            <w:r>
              <w:t>Forecasting – Econ 411</w:t>
            </w:r>
          </w:p>
        </w:tc>
        <w:tc>
          <w:tcPr>
            <w:tcW w:w="10980" w:type="dxa"/>
            <w:vAlign w:val="center"/>
          </w:tcPr>
          <w:p w14:paraId="20019C47" w14:textId="61CC8687" w:rsidR="0064542F" w:rsidRDefault="0064542F" w:rsidP="0064542F">
            <w:r>
              <w:t xml:space="preserve">Time series analysis, forecasting methods, forecast evaluation, model selection.  AR, MA, ARMA, ADL, VAR, ARCH, and GARCH models. Optimal, plug-in, iterated forecasts for </w:t>
            </w:r>
            <w:proofErr w:type="gramStart"/>
            <w:r>
              <w:t>AR(</w:t>
            </w:r>
            <w:proofErr w:type="gramEnd"/>
            <w:r>
              <w:t xml:space="preserve">1) models. Forecasting with lagging and leading indicators, step ahead forecasts. AIC, BIC, analyzing error terms for white noise, orthogonalizing errors. Trends, cycles, seasonality, causality, Granger causality tests, term structure theory, volatility, standard deviations, variance, autocorrelations and their graphs, Durban Watson test, </w:t>
            </w:r>
            <w:proofErr w:type="spellStart"/>
            <w:r>
              <w:t>Breush</w:t>
            </w:r>
            <w:proofErr w:type="spellEnd"/>
            <w:r>
              <w:t xml:space="preserve">-Godfrey test, residual autocorrelations. Testing for breaks in time series with Chow test or </w:t>
            </w:r>
            <w:proofErr w:type="spellStart"/>
            <w:r>
              <w:t>Quandt</w:t>
            </w:r>
            <w:proofErr w:type="spellEnd"/>
            <w:r>
              <w:t xml:space="preserve"> likelihood ratio. Prediction commands in STATA, using dummy variables to handle seasonality, transforming time series from exponential to linear using natural logs, multiple regression comparisons using STATA graphics, importing data into STATA. Matrix equation of Beta and expected value of loss function.</w:t>
            </w:r>
          </w:p>
          <w:p w14:paraId="7284040F" w14:textId="78D501D8" w:rsidR="00FD2AB2" w:rsidRPr="005E669F" w:rsidRDefault="0064542F" w:rsidP="0064542F">
            <w:pPr>
              <w:rPr>
                <w:b/>
                <w:bCs/>
              </w:rPr>
            </w:pPr>
            <w:r w:rsidRPr="005E669F">
              <w:rPr>
                <w:b/>
                <w:bCs/>
              </w:rPr>
              <w:t>Text: Forecasting in Economics, Business, Finance and Beyond by Francis X Diebold.</w:t>
            </w:r>
          </w:p>
        </w:tc>
        <w:tc>
          <w:tcPr>
            <w:tcW w:w="1350" w:type="dxa"/>
            <w:vAlign w:val="center"/>
          </w:tcPr>
          <w:p w14:paraId="4D9C9D06" w14:textId="0D9E6220" w:rsidR="00FD2AB2" w:rsidRDefault="00232AA5" w:rsidP="00AA56E1">
            <w:r>
              <w:t>Spring 2017</w:t>
            </w:r>
          </w:p>
        </w:tc>
      </w:tr>
      <w:tr w:rsidR="00AE668D" w14:paraId="6981AA83" w14:textId="77777777" w:rsidTr="004E3F60">
        <w:tc>
          <w:tcPr>
            <w:tcW w:w="1795" w:type="dxa"/>
            <w:vAlign w:val="center"/>
          </w:tcPr>
          <w:p w14:paraId="50B709A0" w14:textId="4809F0C9" w:rsidR="00AE668D" w:rsidRDefault="009033F1" w:rsidP="00AA56E1">
            <w:r>
              <w:lastRenderedPageBreak/>
              <w:t>Advanced Macroeconomics – Econ 505</w:t>
            </w:r>
          </w:p>
        </w:tc>
        <w:tc>
          <w:tcPr>
            <w:tcW w:w="10980" w:type="dxa"/>
            <w:vAlign w:val="center"/>
          </w:tcPr>
          <w:p w14:paraId="501393C5" w14:textId="77777777" w:rsidR="00100CCA" w:rsidRDefault="00100CCA" w:rsidP="00100CCA">
            <w:r>
              <w:t>Neoclassical growth regression model, deriving fundamental equation of the Solow growth model, concept of steady state, Harrod-</w:t>
            </w:r>
            <w:proofErr w:type="spellStart"/>
            <w:r>
              <w:t>Domar</w:t>
            </w:r>
            <w:proofErr w:type="spellEnd"/>
            <w:r>
              <w:t xml:space="preserve"> growth model, Easterly's Ghost, Solow's fundamental equation, stylized facts of growth. Intergenerational mobility economics, IS-LM framework, Phillips curve, production function, institutions effect on growth models. Read 43 papers and analyzed. Presented analysis of Solow growth model and other referee reports.</w:t>
            </w:r>
          </w:p>
          <w:p w14:paraId="1A18CFED" w14:textId="77777777" w:rsidR="00100CCA" w:rsidRPr="00100CCA" w:rsidRDefault="00100CCA" w:rsidP="00100CCA">
            <w:pPr>
              <w:rPr>
                <w:b/>
                <w:bCs/>
              </w:rPr>
            </w:pPr>
            <w:r w:rsidRPr="00100CCA">
              <w:rPr>
                <w:b/>
                <w:bCs/>
              </w:rPr>
              <w:t xml:space="preserve">Text: David Romer, Advanced Macroeconomics, </w:t>
            </w:r>
            <w:proofErr w:type="spellStart"/>
            <w:r w:rsidRPr="00100CCA">
              <w:rPr>
                <w:b/>
                <w:bCs/>
              </w:rPr>
              <w:t>MacGraw</w:t>
            </w:r>
            <w:proofErr w:type="spellEnd"/>
            <w:r w:rsidRPr="00100CCA">
              <w:rPr>
                <w:b/>
                <w:bCs/>
              </w:rPr>
              <w:t>-Hill, fourth edition, 2011.</w:t>
            </w:r>
          </w:p>
          <w:p w14:paraId="18F91F56" w14:textId="44ED6507" w:rsidR="00AE668D" w:rsidRDefault="00100CCA" w:rsidP="00100CCA">
            <w:r w:rsidRPr="00100CCA">
              <w:rPr>
                <w:b/>
                <w:bCs/>
              </w:rPr>
              <w:t xml:space="preserve">Text: Morris Davis. Macroeconomics for MBAs and </w:t>
            </w:r>
            <w:proofErr w:type="gramStart"/>
            <w:r w:rsidRPr="00100CCA">
              <w:rPr>
                <w:b/>
                <w:bCs/>
              </w:rPr>
              <w:t>Masters of Finance</w:t>
            </w:r>
            <w:proofErr w:type="gramEnd"/>
            <w:r w:rsidRPr="00100CCA">
              <w:rPr>
                <w:b/>
                <w:bCs/>
              </w:rPr>
              <w:t>. Cambridge University Press, 2009.</w:t>
            </w:r>
          </w:p>
        </w:tc>
        <w:tc>
          <w:tcPr>
            <w:tcW w:w="1350" w:type="dxa"/>
            <w:vAlign w:val="center"/>
          </w:tcPr>
          <w:p w14:paraId="2833E269" w14:textId="727988FC" w:rsidR="00AE668D" w:rsidRDefault="00554FAB" w:rsidP="00AA56E1">
            <w:r>
              <w:t>Spring 2017</w:t>
            </w:r>
          </w:p>
        </w:tc>
      </w:tr>
      <w:tr w:rsidR="00554FAB" w14:paraId="2D67FAF8" w14:textId="77777777" w:rsidTr="004E3F60">
        <w:trPr>
          <w:cnfStyle w:val="000000100000" w:firstRow="0" w:lastRow="0" w:firstColumn="0" w:lastColumn="0" w:oddVBand="0" w:evenVBand="0" w:oddHBand="1" w:evenHBand="0" w:firstRowFirstColumn="0" w:firstRowLastColumn="0" w:lastRowFirstColumn="0" w:lastRowLastColumn="0"/>
          <w:cantSplit/>
        </w:trPr>
        <w:tc>
          <w:tcPr>
            <w:tcW w:w="1795" w:type="dxa"/>
            <w:vAlign w:val="center"/>
          </w:tcPr>
          <w:p w14:paraId="533B0372" w14:textId="6A1B783D" w:rsidR="00554FAB" w:rsidRDefault="00F92C5E" w:rsidP="00AA56E1">
            <w:r>
              <w:t xml:space="preserve">Econometrics – Econ </w:t>
            </w:r>
            <w:r w:rsidR="0099524D">
              <w:t>506</w:t>
            </w:r>
          </w:p>
        </w:tc>
        <w:tc>
          <w:tcPr>
            <w:tcW w:w="10980" w:type="dxa"/>
            <w:vAlign w:val="center"/>
          </w:tcPr>
          <w:p w14:paraId="0D4C9226" w14:textId="367C7A15" w:rsidR="002C656A" w:rsidRDefault="002C656A" w:rsidP="002C656A">
            <w:r>
              <w:t>Transforming data to get normal distribution. Summary statistics, expected value, variance, standard deviation, kurtosis, skewness, and elasticity. Heteroskedasticity and White &amp; Breusch-Pagan &amp; Cook-</w:t>
            </w:r>
            <w:proofErr w:type="spellStart"/>
            <w:r>
              <w:t>Weisbert</w:t>
            </w:r>
            <w:proofErr w:type="spellEnd"/>
            <w:r>
              <w:t xml:space="preserve"> tests and multicollinearity. Hypothesis tests, omitted variable bias, ANOVA, covariance, correlation, t-tests, goodness of fit R-squared and adjusted R-squared, sum of squares standard error of </w:t>
            </w:r>
            <w:proofErr w:type="gramStart"/>
            <w:r>
              <w:t>regression(</w:t>
            </w:r>
            <w:proofErr w:type="gramEnd"/>
            <w:r>
              <w:t>SER). OLS, simple and multiple regressions, time series and dummy variables, non-linear regressions, first differences. Market alpha and beta. Used STATA for these regressions and tests.</w:t>
            </w:r>
          </w:p>
          <w:p w14:paraId="1A002041" w14:textId="4D8F6A7C" w:rsidR="00554FAB" w:rsidRPr="002C656A" w:rsidRDefault="002C656A" w:rsidP="002C656A">
            <w:pPr>
              <w:rPr>
                <w:b/>
                <w:bCs/>
              </w:rPr>
            </w:pPr>
            <w:r w:rsidRPr="002C656A">
              <w:rPr>
                <w:b/>
                <w:bCs/>
              </w:rPr>
              <w:t>Text: Introduction to Econometrics, by James H. Stock and Mark W. Watson Publication Date: December 13, 2010</w:t>
            </w:r>
          </w:p>
        </w:tc>
        <w:tc>
          <w:tcPr>
            <w:tcW w:w="1350" w:type="dxa"/>
            <w:vAlign w:val="center"/>
          </w:tcPr>
          <w:p w14:paraId="11E2306A" w14:textId="4AB9E5FA" w:rsidR="00554FAB" w:rsidRDefault="003D55C7" w:rsidP="00AA56E1">
            <w:r>
              <w:t>Fall 2016</w:t>
            </w:r>
          </w:p>
        </w:tc>
      </w:tr>
      <w:tr w:rsidR="003D55C7" w14:paraId="6172612D" w14:textId="77777777" w:rsidTr="004E3F60">
        <w:tc>
          <w:tcPr>
            <w:tcW w:w="1795" w:type="dxa"/>
            <w:vAlign w:val="center"/>
          </w:tcPr>
          <w:p w14:paraId="1EE26511" w14:textId="60C629D7" w:rsidR="003D55C7" w:rsidRDefault="0099524D" w:rsidP="00AA56E1">
            <w:r>
              <w:t>Math for economists – Econ 416</w:t>
            </w:r>
          </w:p>
        </w:tc>
        <w:tc>
          <w:tcPr>
            <w:tcW w:w="10980" w:type="dxa"/>
            <w:vAlign w:val="center"/>
          </w:tcPr>
          <w:p w14:paraId="4F3C0FFC" w14:textId="74D8D4B8" w:rsidR="00F67C53" w:rsidRDefault="00F67C53" w:rsidP="00F67C53">
            <w:r>
              <w:t xml:space="preserve">Matrix notation formula for beta, matrix algebra, expected value, and variance, college algebra, linear algebra, differential calculus, exponential, logarithmic, and exponential functions. Optimization problems with constraints. Utility theory and problems. Elasticity, Cobb-Douglas production function. </w:t>
            </w:r>
            <w:r w:rsidR="00B17701">
              <w:t>LaGrange</w:t>
            </w:r>
            <w:r>
              <w:t xml:space="preserve"> function, and Euler's equation. </w:t>
            </w:r>
          </w:p>
          <w:p w14:paraId="6E4BF093" w14:textId="4E3E1422" w:rsidR="003D55C7" w:rsidRPr="00F67C53" w:rsidRDefault="00F67C53" w:rsidP="00F67C53">
            <w:pPr>
              <w:rPr>
                <w:b/>
                <w:bCs/>
              </w:rPr>
            </w:pPr>
            <w:r w:rsidRPr="00F67C53">
              <w:rPr>
                <w:b/>
                <w:bCs/>
              </w:rPr>
              <w:t>Text: Michael W. Klein, Mathematical Methods for Economics, 2nd edition. Addison Wesley, 2002.</w:t>
            </w:r>
          </w:p>
        </w:tc>
        <w:tc>
          <w:tcPr>
            <w:tcW w:w="1350" w:type="dxa"/>
            <w:vAlign w:val="center"/>
          </w:tcPr>
          <w:p w14:paraId="72592877" w14:textId="5B3F8935" w:rsidR="003D55C7" w:rsidRDefault="003D55C7" w:rsidP="00AA56E1">
            <w:r>
              <w:t>Fall 2016</w:t>
            </w:r>
          </w:p>
        </w:tc>
      </w:tr>
    </w:tbl>
    <w:p w14:paraId="30047550" w14:textId="36155B33" w:rsidR="00FD2AB2" w:rsidRDefault="00FD2AB2"/>
    <w:p w14:paraId="77FA62BA" w14:textId="06FD184E" w:rsidR="00FD2AB2" w:rsidRPr="008922F6" w:rsidRDefault="00BD5D7D">
      <w:pPr>
        <w:rPr>
          <w:sz w:val="28"/>
          <w:szCs w:val="28"/>
        </w:rPr>
      </w:pPr>
      <w:r w:rsidRPr="008922F6">
        <w:rPr>
          <w:sz w:val="28"/>
          <w:szCs w:val="28"/>
        </w:rPr>
        <w:t>M</w:t>
      </w:r>
      <w:r w:rsidR="0089692C" w:rsidRPr="008922F6">
        <w:rPr>
          <w:sz w:val="28"/>
          <w:szCs w:val="28"/>
        </w:rPr>
        <w:t>ATH</w:t>
      </w:r>
      <w:r w:rsidR="008922F6" w:rsidRPr="008922F6">
        <w:rPr>
          <w:sz w:val="28"/>
          <w:szCs w:val="28"/>
        </w:rPr>
        <w:t>EMATICS</w:t>
      </w:r>
    </w:p>
    <w:tbl>
      <w:tblPr>
        <w:tblStyle w:val="GridTable4-Accent6"/>
        <w:tblW w:w="9355" w:type="dxa"/>
        <w:tblLayout w:type="fixed"/>
        <w:tblLook w:val="0420" w:firstRow="1" w:lastRow="0" w:firstColumn="0" w:lastColumn="0" w:noHBand="0" w:noVBand="1"/>
      </w:tblPr>
      <w:tblGrid>
        <w:gridCol w:w="6655"/>
        <w:gridCol w:w="1260"/>
        <w:gridCol w:w="1440"/>
      </w:tblGrid>
      <w:tr w:rsidR="00F75538" w14:paraId="7DB94290" w14:textId="77777777" w:rsidTr="00D05FD6">
        <w:trPr>
          <w:cnfStyle w:val="100000000000" w:firstRow="1" w:lastRow="0" w:firstColumn="0" w:lastColumn="0" w:oddVBand="0" w:evenVBand="0" w:oddHBand="0" w:evenHBand="0" w:firstRowFirstColumn="0" w:firstRowLastColumn="0" w:lastRowFirstColumn="0" w:lastRowLastColumn="0"/>
          <w:cantSplit/>
          <w:tblHeader/>
        </w:trPr>
        <w:tc>
          <w:tcPr>
            <w:tcW w:w="6655" w:type="dxa"/>
          </w:tcPr>
          <w:p w14:paraId="4501C352" w14:textId="3D183FE6" w:rsidR="00F75538" w:rsidRDefault="00F75538" w:rsidP="00AC50C8">
            <w:r>
              <w:t>Class</w:t>
            </w:r>
          </w:p>
        </w:tc>
        <w:tc>
          <w:tcPr>
            <w:tcW w:w="1260" w:type="dxa"/>
          </w:tcPr>
          <w:p w14:paraId="6FAEFD2C" w14:textId="7A90C7D0" w:rsidR="00F75538" w:rsidRPr="00494F0C" w:rsidRDefault="00494F0C" w:rsidP="002D5C82">
            <w:pPr>
              <w:jc w:val="center"/>
            </w:pPr>
            <w:r w:rsidRPr="00494F0C">
              <w:t>C</w:t>
            </w:r>
            <w:r w:rsidR="00984CA8" w:rsidRPr="00494F0C">
              <w:t>redits</w:t>
            </w:r>
          </w:p>
        </w:tc>
        <w:tc>
          <w:tcPr>
            <w:tcW w:w="1440" w:type="dxa"/>
          </w:tcPr>
          <w:p w14:paraId="27337FC4" w14:textId="77777777" w:rsidR="00F75538" w:rsidRDefault="00F75538" w:rsidP="00AC50C8">
            <w:r>
              <w:t>Date</w:t>
            </w:r>
          </w:p>
        </w:tc>
      </w:tr>
      <w:tr w:rsidR="00F75538" w14:paraId="1AD00368" w14:textId="77777777" w:rsidTr="00D05FD6">
        <w:trPr>
          <w:cnfStyle w:val="000000100000" w:firstRow="0" w:lastRow="0" w:firstColumn="0" w:lastColumn="0" w:oddVBand="0" w:evenVBand="0" w:oddHBand="1" w:evenHBand="0" w:firstRowFirstColumn="0" w:firstRowLastColumn="0" w:lastRowFirstColumn="0" w:lastRowLastColumn="0"/>
        </w:trPr>
        <w:tc>
          <w:tcPr>
            <w:tcW w:w="6655" w:type="dxa"/>
            <w:vAlign w:val="center"/>
          </w:tcPr>
          <w:p w14:paraId="53024DD6" w14:textId="791C2458" w:rsidR="00F75538" w:rsidRDefault="00F75538" w:rsidP="00AC50C8">
            <w:r>
              <w:t>Probability and Statistics</w:t>
            </w:r>
            <w:r w:rsidR="0092237B">
              <w:t xml:space="preserve"> 1320</w:t>
            </w:r>
            <w:r>
              <w:t xml:space="preserve"> – UMSL</w:t>
            </w:r>
          </w:p>
        </w:tc>
        <w:tc>
          <w:tcPr>
            <w:tcW w:w="1260" w:type="dxa"/>
            <w:vAlign w:val="center"/>
          </w:tcPr>
          <w:p w14:paraId="1A70DA9E" w14:textId="428B0ADD" w:rsidR="00F75538" w:rsidRDefault="004140BD" w:rsidP="004140BD">
            <w:pPr>
              <w:jc w:val="center"/>
            </w:pPr>
            <w:r>
              <w:t>3</w:t>
            </w:r>
          </w:p>
        </w:tc>
        <w:tc>
          <w:tcPr>
            <w:tcW w:w="1440" w:type="dxa"/>
            <w:vAlign w:val="center"/>
          </w:tcPr>
          <w:p w14:paraId="767FAB00" w14:textId="34E53108" w:rsidR="00F75538" w:rsidRDefault="00F75538" w:rsidP="00AC50C8">
            <w:r>
              <w:t>Spring 2016</w:t>
            </w:r>
          </w:p>
        </w:tc>
      </w:tr>
      <w:tr w:rsidR="00F75538" w14:paraId="041811DC" w14:textId="77777777" w:rsidTr="00D05FD6">
        <w:tc>
          <w:tcPr>
            <w:tcW w:w="6655" w:type="dxa"/>
            <w:vAlign w:val="center"/>
          </w:tcPr>
          <w:p w14:paraId="0606FB45" w14:textId="085CF3CD" w:rsidR="00F75538" w:rsidRDefault="0092237B" w:rsidP="00AC50C8">
            <w:r>
              <w:t>Elementary Linear Algebra</w:t>
            </w:r>
            <w:r w:rsidR="00CE6369">
              <w:t xml:space="preserve"> 2450 – UMSL</w:t>
            </w:r>
          </w:p>
        </w:tc>
        <w:tc>
          <w:tcPr>
            <w:tcW w:w="1260" w:type="dxa"/>
            <w:vAlign w:val="center"/>
          </w:tcPr>
          <w:p w14:paraId="54E23C63" w14:textId="0B8F3258" w:rsidR="00F75538" w:rsidRDefault="004140BD" w:rsidP="004140BD">
            <w:pPr>
              <w:jc w:val="center"/>
            </w:pPr>
            <w:r>
              <w:t>3</w:t>
            </w:r>
          </w:p>
        </w:tc>
        <w:tc>
          <w:tcPr>
            <w:tcW w:w="1440" w:type="dxa"/>
            <w:vAlign w:val="center"/>
          </w:tcPr>
          <w:p w14:paraId="06339642" w14:textId="722A0E21" w:rsidR="00F75538" w:rsidRDefault="00CE6369" w:rsidP="00AC50C8">
            <w:r>
              <w:t>Fall 2015</w:t>
            </w:r>
          </w:p>
        </w:tc>
      </w:tr>
      <w:tr w:rsidR="00110ECF" w14:paraId="5640D75D" w14:textId="77777777" w:rsidTr="00D05FD6">
        <w:trPr>
          <w:cnfStyle w:val="000000100000" w:firstRow="0" w:lastRow="0" w:firstColumn="0" w:lastColumn="0" w:oddVBand="0" w:evenVBand="0" w:oddHBand="1" w:evenHBand="0" w:firstRowFirstColumn="0" w:firstRowLastColumn="0" w:lastRowFirstColumn="0" w:lastRowLastColumn="0"/>
        </w:trPr>
        <w:tc>
          <w:tcPr>
            <w:tcW w:w="6655" w:type="dxa"/>
            <w:vAlign w:val="center"/>
          </w:tcPr>
          <w:p w14:paraId="1177A1E7" w14:textId="364EC313" w:rsidR="00110ECF" w:rsidRDefault="00110ECF" w:rsidP="00AC50C8">
            <w:r>
              <w:t>Differential equations – STLCC</w:t>
            </w:r>
          </w:p>
        </w:tc>
        <w:tc>
          <w:tcPr>
            <w:tcW w:w="1260" w:type="dxa"/>
            <w:vAlign w:val="center"/>
          </w:tcPr>
          <w:p w14:paraId="358AD67D" w14:textId="516AFC0E" w:rsidR="00110ECF" w:rsidRDefault="004140BD" w:rsidP="004140BD">
            <w:pPr>
              <w:jc w:val="center"/>
            </w:pPr>
            <w:r>
              <w:t>3</w:t>
            </w:r>
          </w:p>
        </w:tc>
        <w:tc>
          <w:tcPr>
            <w:tcW w:w="1440" w:type="dxa"/>
            <w:vAlign w:val="center"/>
          </w:tcPr>
          <w:p w14:paraId="2A533C66" w14:textId="287B2AB5" w:rsidR="00110ECF" w:rsidRDefault="00FD0609" w:rsidP="00AC50C8">
            <w:r>
              <w:t>Fall 2014</w:t>
            </w:r>
          </w:p>
        </w:tc>
      </w:tr>
      <w:tr w:rsidR="00F75538" w14:paraId="4D1475E3" w14:textId="77777777" w:rsidTr="00D05FD6">
        <w:tc>
          <w:tcPr>
            <w:tcW w:w="6655" w:type="dxa"/>
            <w:vAlign w:val="center"/>
          </w:tcPr>
          <w:p w14:paraId="6CEC2E33" w14:textId="1867C1EA" w:rsidR="00F75538" w:rsidRDefault="00F75538" w:rsidP="00AC50C8">
            <w:r>
              <w:t>Calculus III</w:t>
            </w:r>
            <w:r w:rsidR="00CE6369">
              <w:t xml:space="preserve"> – STLCC</w:t>
            </w:r>
          </w:p>
        </w:tc>
        <w:tc>
          <w:tcPr>
            <w:tcW w:w="1260" w:type="dxa"/>
            <w:vAlign w:val="center"/>
          </w:tcPr>
          <w:p w14:paraId="3BB53D22" w14:textId="2998B79B" w:rsidR="00F75538" w:rsidRDefault="004140BD" w:rsidP="004140BD">
            <w:pPr>
              <w:jc w:val="center"/>
            </w:pPr>
            <w:r>
              <w:t>5</w:t>
            </w:r>
          </w:p>
        </w:tc>
        <w:tc>
          <w:tcPr>
            <w:tcW w:w="1440" w:type="dxa"/>
            <w:vAlign w:val="center"/>
          </w:tcPr>
          <w:p w14:paraId="32F71CB1" w14:textId="2BD4466D" w:rsidR="00F75538" w:rsidRDefault="00AA2901" w:rsidP="00AC50C8">
            <w:r>
              <w:t>Spring 2014</w:t>
            </w:r>
          </w:p>
        </w:tc>
      </w:tr>
      <w:tr w:rsidR="00F75538" w14:paraId="3620831F" w14:textId="77777777" w:rsidTr="00D05FD6">
        <w:trPr>
          <w:cnfStyle w:val="000000100000" w:firstRow="0" w:lastRow="0" w:firstColumn="0" w:lastColumn="0" w:oddVBand="0" w:evenVBand="0" w:oddHBand="1" w:evenHBand="0" w:firstRowFirstColumn="0" w:firstRowLastColumn="0" w:lastRowFirstColumn="0" w:lastRowLastColumn="0"/>
        </w:trPr>
        <w:tc>
          <w:tcPr>
            <w:tcW w:w="6655" w:type="dxa"/>
            <w:vAlign w:val="center"/>
          </w:tcPr>
          <w:p w14:paraId="59984F9C" w14:textId="6439ED62" w:rsidR="00F75538" w:rsidRDefault="00AA2901" w:rsidP="00AC50C8">
            <w:r>
              <w:t>Calculus II – STLCC</w:t>
            </w:r>
          </w:p>
        </w:tc>
        <w:tc>
          <w:tcPr>
            <w:tcW w:w="1260" w:type="dxa"/>
            <w:vAlign w:val="center"/>
          </w:tcPr>
          <w:p w14:paraId="43330C15" w14:textId="62C88D93" w:rsidR="00F75538" w:rsidRDefault="00AA2901" w:rsidP="004140BD">
            <w:pPr>
              <w:jc w:val="center"/>
            </w:pPr>
            <w:r>
              <w:t>5</w:t>
            </w:r>
          </w:p>
        </w:tc>
        <w:tc>
          <w:tcPr>
            <w:tcW w:w="1440" w:type="dxa"/>
            <w:vAlign w:val="center"/>
          </w:tcPr>
          <w:p w14:paraId="18635780" w14:textId="7DBB815A" w:rsidR="00F75538" w:rsidRDefault="00F0529D" w:rsidP="00AC50C8">
            <w:r>
              <w:t>Fall</w:t>
            </w:r>
            <w:r w:rsidR="00AA2901">
              <w:t xml:space="preserve"> 2014</w:t>
            </w:r>
          </w:p>
        </w:tc>
      </w:tr>
      <w:tr w:rsidR="00F75538" w14:paraId="71E4AEC6" w14:textId="77777777" w:rsidTr="00D05FD6">
        <w:tc>
          <w:tcPr>
            <w:tcW w:w="6655" w:type="dxa"/>
            <w:vAlign w:val="center"/>
          </w:tcPr>
          <w:p w14:paraId="44AF2A33" w14:textId="5845F398" w:rsidR="00F75538" w:rsidRDefault="00AA2901" w:rsidP="00AC50C8">
            <w:r>
              <w:t>Calculus I – STLCC</w:t>
            </w:r>
          </w:p>
        </w:tc>
        <w:tc>
          <w:tcPr>
            <w:tcW w:w="1260" w:type="dxa"/>
            <w:vAlign w:val="center"/>
          </w:tcPr>
          <w:p w14:paraId="0EF2AD1D" w14:textId="42EC1931" w:rsidR="00F75538" w:rsidRDefault="00AA2901" w:rsidP="004140BD">
            <w:pPr>
              <w:jc w:val="center"/>
            </w:pPr>
            <w:r>
              <w:t>5</w:t>
            </w:r>
          </w:p>
        </w:tc>
        <w:tc>
          <w:tcPr>
            <w:tcW w:w="1440" w:type="dxa"/>
            <w:vAlign w:val="center"/>
          </w:tcPr>
          <w:p w14:paraId="0EE7E90F" w14:textId="23A1DBC8" w:rsidR="00F75538" w:rsidRDefault="00167A5F" w:rsidP="00AC50C8">
            <w:r>
              <w:t>Spring 2013</w:t>
            </w:r>
          </w:p>
        </w:tc>
      </w:tr>
      <w:tr w:rsidR="00F75538" w14:paraId="510D17F9" w14:textId="77777777" w:rsidTr="00D05FD6">
        <w:trPr>
          <w:cnfStyle w:val="000000100000" w:firstRow="0" w:lastRow="0" w:firstColumn="0" w:lastColumn="0" w:oddVBand="0" w:evenVBand="0" w:oddHBand="1" w:evenHBand="0" w:firstRowFirstColumn="0" w:firstRowLastColumn="0" w:lastRowFirstColumn="0" w:lastRowLastColumn="0"/>
        </w:trPr>
        <w:tc>
          <w:tcPr>
            <w:tcW w:w="6655" w:type="dxa"/>
            <w:vAlign w:val="center"/>
          </w:tcPr>
          <w:p w14:paraId="6330F7AE" w14:textId="6D867C82" w:rsidR="00F75538" w:rsidRDefault="001007E9" w:rsidP="00AC50C8">
            <w:r>
              <w:t>Trigonometry – STLCC</w:t>
            </w:r>
          </w:p>
        </w:tc>
        <w:tc>
          <w:tcPr>
            <w:tcW w:w="1260" w:type="dxa"/>
            <w:vAlign w:val="center"/>
          </w:tcPr>
          <w:p w14:paraId="689AC904" w14:textId="7437CC0B" w:rsidR="00F75538" w:rsidRDefault="004140BD" w:rsidP="004140BD">
            <w:pPr>
              <w:jc w:val="center"/>
            </w:pPr>
            <w:r>
              <w:t>3</w:t>
            </w:r>
          </w:p>
        </w:tc>
        <w:tc>
          <w:tcPr>
            <w:tcW w:w="1440" w:type="dxa"/>
            <w:vAlign w:val="center"/>
          </w:tcPr>
          <w:p w14:paraId="151E937E" w14:textId="5E0097F1" w:rsidR="00F75538" w:rsidRDefault="001007E9" w:rsidP="00AC50C8">
            <w:r>
              <w:t>Spring 2012</w:t>
            </w:r>
          </w:p>
        </w:tc>
      </w:tr>
      <w:tr w:rsidR="00F75538" w14:paraId="35339988" w14:textId="77777777" w:rsidTr="00D05FD6">
        <w:tc>
          <w:tcPr>
            <w:tcW w:w="6655" w:type="dxa"/>
            <w:vAlign w:val="center"/>
          </w:tcPr>
          <w:p w14:paraId="64C6E6AB" w14:textId="695F29DE" w:rsidR="00F75538" w:rsidRDefault="001007E9" w:rsidP="00AC50C8">
            <w:r>
              <w:t xml:space="preserve">College algebra </w:t>
            </w:r>
            <w:r w:rsidR="00546259">
              <w:t>–</w:t>
            </w:r>
            <w:r>
              <w:t xml:space="preserve"> </w:t>
            </w:r>
            <w:r w:rsidR="00546259">
              <w:t>STLCC</w:t>
            </w:r>
          </w:p>
        </w:tc>
        <w:tc>
          <w:tcPr>
            <w:tcW w:w="1260" w:type="dxa"/>
            <w:vAlign w:val="center"/>
          </w:tcPr>
          <w:p w14:paraId="3D8C13F3" w14:textId="1B9BC619" w:rsidR="00F75538" w:rsidRDefault="00546259" w:rsidP="004140BD">
            <w:pPr>
              <w:jc w:val="center"/>
            </w:pPr>
            <w:r>
              <w:t>4</w:t>
            </w:r>
          </w:p>
        </w:tc>
        <w:tc>
          <w:tcPr>
            <w:tcW w:w="1440" w:type="dxa"/>
            <w:vAlign w:val="center"/>
          </w:tcPr>
          <w:p w14:paraId="41E62559" w14:textId="4BB68169" w:rsidR="00F75538" w:rsidRDefault="00546259" w:rsidP="00AC50C8">
            <w:r>
              <w:t>Spring 2011</w:t>
            </w:r>
          </w:p>
        </w:tc>
      </w:tr>
    </w:tbl>
    <w:p w14:paraId="05DC7E9C" w14:textId="77777777" w:rsidR="00FD2AB2" w:rsidRDefault="00FD2AB2"/>
    <w:sectPr w:rsidR="00FD2AB2" w:rsidSect="00266268">
      <w:headerReference w:type="default" r:id="rId7"/>
      <w:footerReference w:type="default" r:id="rId8"/>
      <w:pgSz w:w="15840" w:h="12240" w:orient="landscape"/>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A8AC5" w14:textId="77777777" w:rsidR="00FA0ABA" w:rsidRDefault="00FA0ABA" w:rsidP="00FA0ABA">
      <w:pPr>
        <w:spacing w:after="0" w:line="240" w:lineRule="auto"/>
      </w:pPr>
      <w:r>
        <w:separator/>
      </w:r>
    </w:p>
  </w:endnote>
  <w:endnote w:type="continuationSeparator" w:id="0">
    <w:p w14:paraId="76FD760F" w14:textId="77777777" w:rsidR="00FA0ABA" w:rsidRDefault="00FA0ABA" w:rsidP="00FA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358223"/>
      <w:docPartObj>
        <w:docPartGallery w:val="Page Numbers (Bottom of Page)"/>
        <w:docPartUnique/>
      </w:docPartObj>
    </w:sdtPr>
    <w:sdtEndPr/>
    <w:sdtContent>
      <w:sdt>
        <w:sdtPr>
          <w:id w:val="-1705238520"/>
          <w:docPartObj>
            <w:docPartGallery w:val="Page Numbers (Top of Page)"/>
            <w:docPartUnique/>
          </w:docPartObj>
        </w:sdtPr>
        <w:sdtEndPr/>
        <w:sdtContent>
          <w:p w14:paraId="641C5E2F" w14:textId="185CC617" w:rsidR="00FA0ABA" w:rsidRDefault="00FA0AB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CCA08C" w14:textId="77777777" w:rsidR="00FA0ABA" w:rsidRDefault="00FA0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9C522" w14:textId="77777777" w:rsidR="00FA0ABA" w:rsidRDefault="00FA0ABA" w:rsidP="00FA0ABA">
      <w:pPr>
        <w:spacing w:after="0" w:line="240" w:lineRule="auto"/>
      </w:pPr>
      <w:r>
        <w:separator/>
      </w:r>
    </w:p>
  </w:footnote>
  <w:footnote w:type="continuationSeparator" w:id="0">
    <w:p w14:paraId="17FFC92A" w14:textId="77777777" w:rsidR="00FA0ABA" w:rsidRDefault="00FA0ABA" w:rsidP="00FA0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000B" w14:textId="3D39868E" w:rsidR="00FA0ABA" w:rsidRDefault="00E5730C">
    <w:pPr>
      <w:pStyle w:val="Header"/>
    </w:pPr>
    <w:r>
      <w:t>ECONOMETRIC AND MATHEMATICS STUDIES</w:t>
    </w:r>
    <w:r w:rsidR="00FA0ABA">
      <w:t xml:space="preserve"> – JOHN FRASER</w:t>
    </w:r>
    <w:r w:rsidR="00026E40">
      <w:t>, CPA MSAE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5E6D64"/>
    <w:rsid w:val="00015AF4"/>
    <w:rsid w:val="00015DE7"/>
    <w:rsid w:val="0002382B"/>
    <w:rsid w:val="00026C6D"/>
    <w:rsid w:val="00026E40"/>
    <w:rsid w:val="000319C4"/>
    <w:rsid w:val="00035020"/>
    <w:rsid w:val="0004078B"/>
    <w:rsid w:val="00042C4B"/>
    <w:rsid w:val="000446DD"/>
    <w:rsid w:val="000579B2"/>
    <w:rsid w:val="00060A1A"/>
    <w:rsid w:val="00065678"/>
    <w:rsid w:val="00080FDA"/>
    <w:rsid w:val="000B00F3"/>
    <w:rsid w:val="000B4E58"/>
    <w:rsid w:val="000C463E"/>
    <w:rsid w:val="000D13F7"/>
    <w:rsid w:val="000E2092"/>
    <w:rsid w:val="000E7F48"/>
    <w:rsid w:val="000F2C71"/>
    <w:rsid w:val="0010041F"/>
    <w:rsid w:val="001007E9"/>
    <w:rsid w:val="00100CCA"/>
    <w:rsid w:val="00102539"/>
    <w:rsid w:val="00110ECF"/>
    <w:rsid w:val="001167D3"/>
    <w:rsid w:val="00117C8D"/>
    <w:rsid w:val="00120652"/>
    <w:rsid w:val="001327E9"/>
    <w:rsid w:val="00152B32"/>
    <w:rsid w:val="00160E2D"/>
    <w:rsid w:val="00167875"/>
    <w:rsid w:val="00167A5F"/>
    <w:rsid w:val="0017000C"/>
    <w:rsid w:val="00170466"/>
    <w:rsid w:val="001708F1"/>
    <w:rsid w:val="001774A9"/>
    <w:rsid w:val="0018407E"/>
    <w:rsid w:val="00193511"/>
    <w:rsid w:val="00197BF8"/>
    <w:rsid w:val="001A3F43"/>
    <w:rsid w:val="001B55FB"/>
    <w:rsid w:val="001B760E"/>
    <w:rsid w:val="001C43EC"/>
    <w:rsid w:val="001E3DD9"/>
    <w:rsid w:val="001E48DA"/>
    <w:rsid w:val="001F0008"/>
    <w:rsid w:val="00201533"/>
    <w:rsid w:val="002135A8"/>
    <w:rsid w:val="0022422F"/>
    <w:rsid w:val="00232AA5"/>
    <w:rsid w:val="002472C4"/>
    <w:rsid w:val="00263133"/>
    <w:rsid w:val="00263599"/>
    <w:rsid w:val="00266268"/>
    <w:rsid w:val="00270E8C"/>
    <w:rsid w:val="00271E0F"/>
    <w:rsid w:val="00281C01"/>
    <w:rsid w:val="00291F8B"/>
    <w:rsid w:val="0029268B"/>
    <w:rsid w:val="00295021"/>
    <w:rsid w:val="00296CFA"/>
    <w:rsid w:val="002C5782"/>
    <w:rsid w:val="002C656A"/>
    <w:rsid w:val="002D0729"/>
    <w:rsid w:val="002D5561"/>
    <w:rsid w:val="002D5C82"/>
    <w:rsid w:val="002E3FAD"/>
    <w:rsid w:val="002E4CFD"/>
    <w:rsid w:val="002F7740"/>
    <w:rsid w:val="0031005B"/>
    <w:rsid w:val="00311E10"/>
    <w:rsid w:val="00341D46"/>
    <w:rsid w:val="00353350"/>
    <w:rsid w:val="0038147F"/>
    <w:rsid w:val="003948FC"/>
    <w:rsid w:val="003A6517"/>
    <w:rsid w:val="003A7363"/>
    <w:rsid w:val="003A7DCB"/>
    <w:rsid w:val="003B14F7"/>
    <w:rsid w:val="003D55C7"/>
    <w:rsid w:val="003E5F45"/>
    <w:rsid w:val="004140BD"/>
    <w:rsid w:val="004460EE"/>
    <w:rsid w:val="00475013"/>
    <w:rsid w:val="00481263"/>
    <w:rsid w:val="0048402B"/>
    <w:rsid w:val="00494DE0"/>
    <w:rsid w:val="00494F0C"/>
    <w:rsid w:val="004A4052"/>
    <w:rsid w:val="004A49BF"/>
    <w:rsid w:val="004A5358"/>
    <w:rsid w:val="004B61A1"/>
    <w:rsid w:val="004E3F60"/>
    <w:rsid w:val="004F13D7"/>
    <w:rsid w:val="00500EFA"/>
    <w:rsid w:val="005109E2"/>
    <w:rsid w:val="00510C2B"/>
    <w:rsid w:val="00524D76"/>
    <w:rsid w:val="0054066D"/>
    <w:rsid w:val="005443D1"/>
    <w:rsid w:val="00545861"/>
    <w:rsid w:val="00546259"/>
    <w:rsid w:val="00554FAB"/>
    <w:rsid w:val="00580C46"/>
    <w:rsid w:val="0059377C"/>
    <w:rsid w:val="005D5FCC"/>
    <w:rsid w:val="005E3C46"/>
    <w:rsid w:val="005E4988"/>
    <w:rsid w:val="005E669F"/>
    <w:rsid w:val="005F6582"/>
    <w:rsid w:val="0060245C"/>
    <w:rsid w:val="00607E49"/>
    <w:rsid w:val="006251CD"/>
    <w:rsid w:val="006428C5"/>
    <w:rsid w:val="0064542F"/>
    <w:rsid w:val="0064553D"/>
    <w:rsid w:val="00696721"/>
    <w:rsid w:val="006A4D15"/>
    <w:rsid w:val="006C17A9"/>
    <w:rsid w:val="006C1B2F"/>
    <w:rsid w:val="006D1D35"/>
    <w:rsid w:val="006D39DE"/>
    <w:rsid w:val="006E2A24"/>
    <w:rsid w:val="006F128B"/>
    <w:rsid w:val="00702B9D"/>
    <w:rsid w:val="0070370F"/>
    <w:rsid w:val="0070756A"/>
    <w:rsid w:val="00713A7B"/>
    <w:rsid w:val="00713E0A"/>
    <w:rsid w:val="00714033"/>
    <w:rsid w:val="00732E78"/>
    <w:rsid w:val="00733EAF"/>
    <w:rsid w:val="00747DB9"/>
    <w:rsid w:val="00765DE9"/>
    <w:rsid w:val="00786405"/>
    <w:rsid w:val="007917FA"/>
    <w:rsid w:val="00791E09"/>
    <w:rsid w:val="0079384B"/>
    <w:rsid w:val="00796BDB"/>
    <w:rsid w:val="007A07E9"/>
    <w:rsid w:val="007A3F74"/>
    <w:rsid w:val="007A5E16"/>
    <w:rsid w:val="007A6B64"/>
    <w:rsid w:val="007B4424"/>
    <w:rsid w:val="007D1827"/>
    <w:rsid w:val="007E6215"/>
    <w:rsid w:val="007F59B1"/>
    <w:rsid w:val="007F7B5C"/>
    <w:rsid w:val="008007CA"/>
    <w:rsid w:val="00821DD3"/>
    <w:rsid w:val="00822D48"/>
    <w:rsid w:val="00855E0A"/>
    <w:rsid w:val="00855F59"/>
    <w:rsid w:val="00863A0A"/>
    <w:rsid w:val="00865443"/>
    <w:rsid w:val="00865521"/>
    <w:rsid w:val="00875BA9"/>
    <w:rsid w:val="00876C3D"/>
    <w:rsid w:val="00877FEA"/>
    <w:rsid w:val="008922F6"/>
    <w:rsid w:val="00892DBF"/>
    <w:rsid w:val="0089692C"/>
    <w:rsid w:val="008B003D"/>
    <w:rsid w:val="008B3B2F"/>
    <w:rsid w:val="008B59A1"/>
    <w:rsid w:val="008D5C0B"/>
    <w:rsid w:val="008D707A"/>
    <w:rsid w:val="009033F1"/>
    <w:rsid w:val="009034EA"/>
    <w:rsid w:val="0090755F"/>
    <w:rsid w:val="009137A6"/>
    <w:rsid w:val="00920F51"/>
    <w:rsid w:val="0092237B"/>
    <w:rsid w:val="00954206"/>
    <w:rsid w:val="00962DEF"/>
    <w:rsid w:val="009707AB"/>
    <w:rsid w:val="009729D9"/>
    <w:rsid w:val="00984CA8"/>
    <w:rsid w:val="00993264"/>
    <w:rsid w:val="00993B79"/>
    <w:rsid w:val="0099524D"/>
    <w:rsid w:val="0099532E"/>
    <w:rsid w:val="009A4B76"/>
    <w:rsid w:val="009B26FF"/>
    <w:rsid w:val="009D00DF"/>
    <w:rsid w:val="009E150C"/>
    <w:rsid w:val="009E3458"/>
    <w:rsid w:val="009F627A"/>
    <w:rsid w:val="009F6B74"/>
    <w:rsid w:val="00A00FF3"/>
    <w:rsid w:val="00A04964"/>
    <w:rsid w:val="00A0599C"/>
    <w:rsid w:val="00A24259"/>
    <w:rsid w:val="00A51676"/>
    <w:rsid w:val="00A52988"/>
    <w:rsid w:val="00A613D2"/>
    <w:rsid w:val="00A72AB7"/>
    <w:rsid w:val="00A73A0E"/>
    <w:rsid w:val="00A833D5"/>
    <w:rsid w:val="00A954D2"/>
    <w:rsid w:val="00AA2901"/>
    <w:rsid w:val="00AA56E1"/>
    <w:rsid w:val="00AA5EB7"/>
    <w:rsid w:val="00AB24EC"/>
    <w:rsid w:val="00AC1072"/>
    <w:rsid w:val="00AC2DA1"/>
    <w:rsid w:val="00AD03EB"/>
    <w:rsid w:val="00AE0F82"/>
    <w:rsid w:val="00AE431C"/>
    <w:rsid w:val="00AE668D"/>
    <w:rsid w:val="00B02E86"/>
    <w:rsid w:val="00B17701"/>
    <w:rsid w:val="00B53959"/>
    <w:rsid w:val="00B557FC"/>
    <w:rsid w:val="00B57902"/>
    <w:rsid w:val="00B718FC"/>
    <w:rsid w:val="00B72A92"/>
    <w:rsid w:val="00B7408C"/>
    <w:rsid w:val="00B90348"/>
    <w:rsid w:val="00BA18F1"/>
    <w:rsid w:val="00BC0CE2"/>
    <w:rsid w:val="00BD52D8"/>
    <w:rsid w:val="00BD5695"/>
    <w:rsid w:val="00BD5D7D"/>
    <w:rsid w:val="00BE3612"/>
    <w:rsid w:val="00BF03A8"/>
    <w:rsid w:val="00BF5302"/>
    <w:rsid w:val="00BF5977"/>
    <w:rsid w:val="00C12B57"/>
    <w:rsid w:val="00C31BCD"/>
    <w:rsid w:val="00C501AB"/>
    <w:rsid w:val="00C57935"/>
    <w:rsid w:val="00C57C13"/>
    <w:rsid w:val="00C84F8A"/>
    <w:rsid w:val="00C875F5"/>
    <w:rsid w:val="00C91287"/>
    <w:rsid w:val="00C9771B"/>
    <w:rsid w:val="00CA6FF0"/>
    <w:rsid w:val="00CB271D"/>
    <w:rsid w:val="00CB6373"/>
    <w:rsid w:val="00CC4CF6"/>
    <w:rsid w:val="00CD41F4"/>
    <w:rsid w:val="00CE6369"/>
    <w:rsid w:val="00D007D7"/>
    <w:rsid w:val="00D05AF6"/>
    <w:rsid w:val="00D05FD6"/>
    <w:rsid w:val="00D116AF"/>
    <w:rsid w:val="00D20098"/>
    <w:rsid w:val="00D20950"/>
    <w:rsid w:val="00D20CDC"/>
    <w:rsid w:val="00D21A2F"/>
    <w:rsid w:val="00D478A6"/>
    <w:rsid w:val="00D53EF0"/>
    <w:rsid w:val="00D5449D"/>
    <w:rsid w:val="00D60758"/>
    <w:rsid w:val="00D84398"/>
    <w:rsid w:val="00D97960"/>
    <w:rsid w:val="00DB018B"/>
    <w:rsid w:val="00DC3935"/>
    <w:rsid w:val="00E16791"/>
    <w:rsid w:val="00E20BD0"/>
    <w:rsid w:val="00E27185"/>
    <w:rsid w:val="00E441A9"/>
    <w:rsid w:val="00E476CC"/>
    <w:rsid w:val="00E507F4"/>
    <w:rsid w:val="00E5730C"/>
    <w:rsid w:val="00E66141"/>
    <w:rsid w:val="00E77B29"/>
    <w:rsid w:val="00E92F12"/>
    <w:rsid w:val="00EA70B5"/>
    <w:rsid w:val="00EB7CD0"/>
    <w:rsid w:val="00EE7C10"/>
    <w:rsid w:val="00F0200E"/>
    <w:rsid w:val="00F0529D"/>
    <w:rsid w:val="00F24DBB"/>
    <w:rsid w:val="00F25A68"/>
    <w:rsid w:val="00F26616"/>
    <w:rsid w:val="00F36CE8"/>
    <w:rsid w:val="00F406E9"/>
    <w:rsid w:val="00F43E9F"/>
    <w:rsid w:val="00F47F78"/>
    <w:rsid w:val="00F67C53"/>
    <w:rsid w:val="00F753A9"/>
    <w:rsid w:val="00F75538"/>
    <w:rsid w:val="00F76AE6"/>
    <w:rsid w:val="00F77691"/>
    <w:rsid w:val="00F87885"/>
    <w:rsid w:val="00F90EB2"/>
    <w:rsid w:val="00F92C5E"/>
    <w:rsid w:val="00FA0ABA"/>
    <w:rsid w:val="00FA0DB8"/>
    <w:rsid w:val="00FA1165"/>
    <w:rsid w:val="00FA3837"/>
    <w:rsid w:val="00FB43B5"/>
    <w:rsid w:val="00FD0609"/>
    <w:rsid w:val="00FD2AB2"/>
    <w:rsid w:val="00FF752B"/>
    <w:rsid w:val="565E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6D64"/>
  <w15:chartTrackingRefBased/>
  <w15:docId w15:val="{AE055FD1-80D3-408A-AA71-B8FC6BEA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B79"/>
    <w:rPr>
      <w:color w:val="0563C1" w:themeColor="hyperlink"/>
      <w:u w:val="single"/>
    </w:rPr>
  </w:style>
  <w:style w:type="character" w:styleId="UnresolvedMention">
    <w:name w:val="Unresolved Mention"/>
    <w:basedOn w:val="DefaultParagraphFont"/>
    <w:uiPriority w:val="99"/>
    <w:semiHidden/>
    <w:unhideWhenUsed/>
    <w:rsid w:val="00993B79"/>
    <w:rPr>
      <w:color w:val="605E5C"/>
      <w:shd w:val="clear" w:color="auto" w:fill="E1DFDD"/>
    </w:rPr>
  </w:style>
  <w:style w:type="character" w:styleId="FollowedHyperlink">
    <w:name w:val="FollowedHyperlink"/>
    <w:basedOn w:val="DefaultParagraphFont"/>
    <w:uiPriority w:val="99"/>
    <w:semiHidden/>
    <w:unhideWhenUsed/>
    <w:rsid w:val="00865443"/>
    <w:rPr>
      <w:color w:val="954F72" w:themeColor="followedHyperlink"/>
      <w:u w:val="single"/>
    </w:rPr>
  </w:style>
  <w:style w:type="table" w:styleId="GridTable4-Accent6">
    <w:name w:val="Grid Table 4 Accent 6"/>
    <w:basedOn w:val="TableNormal"/>
    <w:uiPriority w:val="49"/>
    <w:rsid w:val="00AA56E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A0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ABA"/>
  </w:style>
  <w:style w:type="paragraph" w:styleId="Footer">
    <w:name w:val="footer"/>
    <w:basedOn w:val="Normal"/>
    <w:link w:val="FooterChar"/>
    <w:uiPriority w:val="99"/>
    <w:unhideWhenUsed/>
    <w:rsid w:val="00FA0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ABA"/>
  </w:style>
  <w:style w:type="character" w:styleId="CommentReference">
    <w:name w:val="annotation reference"/>
    <w:basedOn w:val="DefaultParagraphFont"/>
    <w:uiPriority w:val="99"/>
    <w:semiHidden/>
    <w:unhideWhenUsed/>
    <w:rsid w:val="0064542F"/>
    <w:rPr>
      <w:sz w:val="16"/>
      <w:szCs w:val="16"/>
    </w:rPr>
  </w:style>
  <w:style w:type="paragraph" w:styleId="CommentText">
    <w:name w:val="annotation text"/>
    <w:basedOn w:val="Normal"/>
    <w:link w:val="CommentTextChar"/>
    <w:uiPriority w:val="99"/>
    <w:semiHidden/>
    <w:unhideWhenUsed/>
    <w:rsid w:val="0064542F"/>
    <w:pPr>
      <w:spacing w:line="240" w:lineRule="auto"/>
    </w:pPr>
    <w:rPr>
      <w:sz w:val="20"/>
      <w:szCs w:val="20"/>
    </w:rPr>
  </w:style>
  <w:style w:type="character" w:customStyle="1" w:styleId="CommentTextChar">
    <w:name w:val="Comment Text Char"/>
    <w:basedOn w:val="DefaultParagraphFont"/>
    <w:link w:val="CommentText"/>
    <w:uiPriority w:val="99"/>
    <w:semiHidden/>
    <w:rsid w:val="0064542F"/>
    <w:rPr>
      <w:sz w:val="20"/>
      <w:szCs w:val="20"/>
    </w:rPr>
  </w:style>
  <w:style w:type="paragraph" w:styleId="CommentSubject">
    <w:name w:val="annotation subject"/>
    <w:basedOn w:val="CommentText"/>
    <w:next w:val="CommentText"/>
    <w:link w:val="CommentSubjectChar"/>
    <w:uiPriority w:val="99"/>
    <w:semiHidden/>
    <w:unhideWhenUsed/>
    <w:rsid w:val="0064542F"/>
    <w:rPr>
      <w:b/>
      <w:bCs/>
    </w:rPr>
  </w:style>
  <w:style w:type="character" w:customStyle="1" w:styleId="CommentSubjectChar">
    <w:name w:val="Comment Subject Char"/>
    <w:basedOn w:val="CommentTextChar"/>
    <w:link w:val="CommentSubject"/>
    <w:uiPriority w:val="99"/>
    <w:semiHidden/>
    <w:rsid w:val="0064542F"/>
    <w:rPr>
      <w:b/>
      <w:bCs/>
      <w:sz w:val="20"/>
      <w:szCs w:val="20"/>
    </w:rPr>
  </w:style>
  <w:style w:type="paragraph" w:styleId="BalloonText">
    <w:name w:val="Balloon Text"/>
    <w:basedOn w:val="Normal"/>
    <w:link w:val="BalloonTextChar"/>
    <w:uiPriority w:val="99"/>
    <w:semiHidden/>
    <w:unhideWhenUsed/>
    <w:rsid w:val="00645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8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osts/jgfcpa_deregulation-and-minority-access-to-mortgage-ugcPost-6675029994177224704-VdS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Fraser</dc:creator>
  <cp:keywords/>
  <dc:description/>
  <cp:lastModifiedBy>John Fraser</cp:lastModifiedBy>
  <cp:revision>53</cp:revision>
  <cp:lastPrinted>2020-08-12T14:45:00Z</cp:lastPrinted>
  <dcterms:created xsi:type="dcterms:W3CDTF">2020-08-12T09:54:00Z</dcterms:created>
  <dcterms:modified xsi:type="dcterms:W3CDTF">2020-08-12T14:47:00Z</dcterms:modified>
</cp:coreProperties>
</file>