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47A6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</w:rPr>
        <w:t xml:space="preserve">PFL Academy: 1:1 Curriculum Alignment with Illinois Learning Standards </w:t>
      </w:r>
      <w:proofErr w:type="gramStart"/>
      <w:r>
        <w:rPr>
          <w:rStyle w:val="selected"/>
          <w:rFonts w:eastAsiaTheme="majorEastAsia"/>
        </w:rPr>
        <w:t>A</w:t>
      </w:r>
      <w:proofErr w:type="gramEnd"/>
      <w:r>
        <w:rPr>
          <w:rStyle w:val="selected"/>
          <w:rFonts w:eastAsiaTheme="majorEastAsia"/>
        </w:rPr>
        <w:t xml:space="preserve"> Comprehensive Solution for Illinois's High School Financial Literacy Mandate</w:t>
      </w:r>
    </w:p>
    <w:p w14:paraId="38D86DFE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t>Illinois Standard 1: Income and Careers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understanding employment, income sources, career planning, and postsecondary education.</w:t>
      </w:r>
      <w:r>
        <w:rPr>
          <w:rStyle w:val="selected"/>
          <w:rFonts w:eastAsiaTheme="majorEastAsia"/>
        </w:rPr>
        <w:t xml:space="preserve"> 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Career &amp; Education Planning (</w:t>
      </w:r>
      <w:proofErr w:type="spellStart"/>
      <w:r>
        <w:rPr>
          <w:rStyle w:val="selected"/>
          <w:rFonts w:eastAsiaTheme="majorEastAsia"/>
          <w:b/>
          <w:bCs/>
          <w:i/>
          <w:iCs/>
        </w:rPr>
        <w:t>PaCE</w:t>
      </w:r>
      <w:proofErr w:type="spellEnd"/>
      <w:r>
        <w:rPr>
          <w:rStyle w:val="selected"/>
          <w:rFonts w:eastAsiaTheme="majorEastAsia"/>
          <w:b/>
          <w:bCs/>
          <w:i/>
          <w:iCs/>
        </w:rPr>
        <w:t xml:space="preserve"> Integration)</w:t>
      </w:r>
    </w:p>
    <w:p w14:paraId="62007613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1.1: Jobs vs. Careers</w:t>
      </w:r>
    </w:p>
    <w:p w14:paraId="46BE97B6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1.2: Paying for Post-Secondary Education</w:t>
      </w:r>
    </w:p>
    <w:p w14:paraId="18CEEEAC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1.3: Understanding Student Loans</w:t>
      </w:r>
    </w:p>
    <w:p w14:paraId="55A6EFE2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1.4: Career Planning &amp; Development</w:t>
      </w:r>
    </w:p>
    <w:p w14:paraId="004DA22C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1.5: Job Search Strategies</w:t>
      </w:r>
    </w:p>
    <w:p w14:paraId="3D532922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1.6: Workplace Skills</w:t>
      </w:r>
    </w:p>
    <w:p w14:paraId="3A5DCB34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1.7: Professional Development</w:t>
      </w:r>
    </w:p>
    <w:p w14:paraId="3B49678D" w14:textId="77777777" w:rsidR="00973F66" w:rsidRDefault="00973F66" w:rsidP="00973F66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Chapter 1.8: Resume Building</w:t>
      </w:r>
    </w:p>
    <w:p w14:paraId="0A166803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</w:rPr>
        <w:t>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Income &amp; Taxation</w:t>
      </w:r>
    </w:p>
    <w:p w14:paraId="18A10220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1.9: Income and Taxes</w:t>
      </w:r>
    </w:p>
    <w:p w14:paraId="73DB4097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1.10: Understanding Federal and State Taxes</w:t>
      </w:r>
    </w:p>
    <w:p w14:paraId="3D49DF2F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1.11: Understanding Tax Brackets and Tax Rates</w:t>
      </w:r>
    </w:p>
    <w:p w14:paraId="5603F15A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1.12: Understanding Tax Filing Requirements</w:t>
      </w:r>
    </w:p>
    <w:p w14:paraId="704EFD62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1.13: Understanding Tax Deductions and Credits</w:t>
      </w:r>
    </w:p>
    <w:p w14:paraId="215B83D3" w14:textId="77777777" w:rsidR="00973F66" w:rsidRDefault="00973F66" w:rsidP="00973F66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>Chapter 1.14: Tax Planning and Compliance</w:t>
      </w:r>
    </w:p>
    <w:p w14:paraId="4EDD0CCB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t>Illinois Standard 2: Money Management &amp; Budgeting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creating budgets, setting goals, and managing income effectively.</w:t>
      </w:r>
    </w:p>
    <w:p w14:paraId="1140AB1B" w14:textId="77777777" w:rsidR="00973F66" w:rsidRDefault="00973F66" w:rsidP="00973F66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</w:rPr>
        <w:t>Chapter 2.1: Financial Goal Setting</w:t>
      </w:r>
    </w:p>
    <w:p w14:paraId="78F0D8BD" w14:textId="77777777" w:rsidR="00973F66" w:rsidRDefault="00973F66" w:rsidP="00973F66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</w:rPr>
        <w:t>Chapter 2.2: Managing Your Income Effectively</w:t>
      </w:r>
    </w:p>
    <w:p w14:paraId="4AB7B1C3" w14:textId="77777777" w:rsidR="00973F66" w:rsidRDefault="00973F66" w:rsidP="00973F66">
      <w:pPr>
        <w:pStyle w:val="NormalWeb"/>
        <w:numPr>
          <w:ilvl w:val="0"/>
          <w:numId w:val="3"/>
        </w:numPr>
      </w:pPr>
      <w:r>
        <w:rPr>
          <w:rStyle w:val="selected"/>
          <w:rFonts w:eastAsiaTheme="majorEastAsia"/>
        </w:rPr>
        <w:t>Chapter 2.3: Philanthropy and Financial Planning</w:t>
      </w:r>
    </w:p>
    <w:p w14:paraId="042B5D49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t>Illinois Standard 3: Saving and Investing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strategies for saving, investing, and retirement planning.</w:t>
      </w:r>
      <w:r>
        <w:rPr>
          <w:rStyle w:val="selected"/>
          <w:rFonts w:eastAsiaTheme="majorEastAsia"/>
        </w:rPr>
        <w:t xml:space="preserve"> 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Saving &amp; Investment Strategies</w:t>
      </w:r>
    </w:p>
    <w:p w14:paraId="0EA66C06" w14:textId="77777777" w:rsidR="00973F66" w:rsidRDefault="00973F66" w:rsidP="00973F66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Chapter 3.1: Getting Started Saving and Investing</w:t>
      </w:r>
    </w:p>
    <w:p w14:paraId="218AE5FE" w14:textId="77777777" w:rsidR="00973F66" w:rsidRDefault="00973F66" w:rsidP="00973F66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Chapter 3.2: Understanding the Power of Compound Interest</w:t>
      </w:r>
    </w:p>
    <w:p w14:paraId="68A60382" w14:textId="77777777" w:rsidR="00973F66" w:rsidRDefault="00973F66" w:rsidP="00973F66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Chapter 3.3: Evaluating Saving and Investment Strategies</w:t>
      </w:r>
    </w:p>
    <w:p w14:paraId="43E181F2" w14:textId="77777777" w:rsidR="00973F66" w:rsidRDefault="00973F66" w:rsidP="00973F66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Chapter 3.4: Time is Money – Developing a Savings and Investment Strategy</w:t>
      </w:r>
    </w:p>
    <w:p w14:paraId="3D42F416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</w:rPr>
        <w:t>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Retirement Planning</w:t>
      </w:r>
    </w:p>
    <w:p w14:paraId="4C9ABB4B" w14:textId="77777777" w:rsidR="00973F66" w:rsidRDefault="00973F66" w:rsidP="00973F66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</w:rPr>
        <w:t>Chapter 3.5: Planning for Your Retirement</w:t>
      </w:r>
    </w:p>
    <w:p w14:paraId="67101B23" w14:textId="77777777" w:rsidR="00973F66" w:rsidRDefault="00973F66" w:rsidP="00973F66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</w:rPr>
        <w:t>Chapter 3.6: Longevity and Retirement Planning</w:t>
      </w:r>
    </w:p>
    <w:p w14:paraId="6FEE0752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lastRenderedPageBreak/>
        <w:t>Illinois Standard 4: Credit and Debt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the responsible use of credit, managing debt, and financing major purchases.</w:t>
      </w:r>
      <w:r>
        <w:rPr>
          <w:rStyle w:val="selected"/>
          <w:rFonts w:eastAsiaTheme="majorEastAsia"/>
        </w:rPr>
        <w:t xml:space="preserve"> 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Credit &amp; Debt Fundamentals</w:t>
      </w:r>
    </w:p>
    <w:p w14:paraId="199BCD6D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4.1: Understanding the Cost of Borrowing</w:t>
      </w:r>
    </w:p>
    <w:p w14:paraId="09249303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4.2: Choosing the Right Source of Credit</w:t>
      </w:r>
    </w:p>
    <w:p w14:paraId="5B288758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4.3: Understanding Your Credit Score and Its Impact</w:t>
      </w:r>
    </w:p>
    <w:p w14:paraId="3CDD3015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4.4: Navigating Consumer Credit Legislation</w:t>
      </w:r>
    </w:p>
    <w:p w14:paraId="0C8A6BCD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4.5: Credit Card Use and Management</w:t>
      </w:r>
    </w:p>
    <w:p w14:paraId="3556469B" w14:textId="77777777" w:rsidR="00973F66" w:rsidRDefault="00973F66" w:rsidP="00973F66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</w:rPr>
        <w:t>Chapter 4.6: Strategies for Managing High Levels of Debt</w:t>
      </w:r>
    </w:p>
    <w:p w14:paraId="49DF6573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</w:rPr>
        <w:t>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Financing Major Purchases</w:t>
      </w:r>
    </w:p>
    <w:p w14:paraId="1A43CF03" w14:textId="77777777" w:rsidR="00973F66" w:rsidRDefault="00973F66" w:rsidP="00973F66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</w:rPr>
        <w:t>Chapter 4.7: Renting vs. Owning – Making Informed Housing Decisions</w:t>
      </w:r>
    </w:p>
    <w:p w14:paraId="36695E96" w14:textId="77777777" w:rsidR="00973F66" w:rsidRDefault="00973F66" w:rsidP="00973F66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</w:rPr>
        <w:t>Chapter 4.8: Understanding the Costs and Responsibilities of Renting</w:t>
      </w:r>
    </w:p>
    <w:p w14:paraId="035E78B0" w14:textId="77777777" w:rsidR="00973F66" w:rsidRDefault="00973F66" w:rsidP="00973F66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</w:rPr>
        <w:t>Chapter 4.9: Understanding Home Buying</w:t>
      </w:r>
    </w:p>
    <w:p w14:paraId="5A48A365" w14:textId="77777777" w:rsidR="00973F66" w:rsidRDefault="00973F66" w:rsidP="00973F66">
      <w:pPr>
        <w:pStyle w:val="NormalWeb"/>
        <w:numPr>
          <w:ilvl w:val="0"/>
          <w:numId w:val="7"/>
        </w:numPr>
      </w:pPr>
      <w:r>
        <w:rPr>
          <w:rStyle w:val="selected"/>
          <w:rFonts w:eastAsiaTheme="majorEastAsia"/>
        </w:rPr>
        <w:t>Chapter 4.10: Automobile Finance</w:t>
      </w:r>
    </w:p>
    <w:p w14:paraId="2FB14105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t>Illinois Standard 5: Financial Institutions &amp; Services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the role of banks and other financial institutions.</w:t>
      </w:r>
    </w:p>
    <w:p w14:paraId="3E1822CD" w14:textId="77777777" w:rsidR="00973F66" w:rsidRDefault="00973F66" w:rsidP="00973F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</w:rPr>
        <w:t>Chapter 5.1: Understanding Different Types of Financial Service Providers</w:t>
      </w:r>
    </w:p>
    <w:p w14:paraId="3EFBDEFA" w14:textId="77777777" w:rsidR="00973F66" w:rsidRDefault="00973F66" w:rsidP="00973F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</w:rPr>
        <w:t>Chapter 5.2: Choosing and Evaluating Financial Service Providers</w:t>
      </w:r>
    </w:p>
    <w:p w14:paraId="5FA5E1C1" w14:textId="77777777" w:rsidR="00973F66" w:rsidRDefault="00973F66" w:rsidP="00973F66">
      <w:pPr>
        <w:pStyle w:val="NormalWeb"/>
        <w:numPr>
          <w:ilvl w:val="0"/>
          <w:numId w:val="8"/>
        </w:numPr>
      </w:pPr>
      <w:r>
        <w:rPr>
          <w:rStyle w:val="selected"/>
          <w:rFonts w:eastAsiaTheme="majorEastAsia"/>
        </w:rPr>
        <w:t>Chapter 5.3: Understanding and Using Banking Tools</w:t>
      </w:r>
    </w:p>
    <w:p w14:paraId="79D28725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  <w:b/>
          <w:bCs/>
        </w:rPr>
        <w:t>Illinois Standard 6: Protecting and Insuring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Focuses on identifying financial risks, using insurance, and protecting personal information.</w:t>
      </w:r>
      <w:r>
        <w:rPr>
          <w:rStyle w:val="selected"/>
          <w:rFonts w:eastAsiaTheme="majorEastAsia"/>
        </w:rPr>
        <w:t xml:space="preserve"> 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Consumer Protection &amp; Awareness</w:t>
      </w:r>
    </w:p>
    <w:p w14:paraId="1C979513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6.1: Understanding Monetary Risks in Saving and Investing</w:t>
      </w:r>
    </w:p>
    <w:p w14:paraId="7E3EAC53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6.2: Shopping Online: Convenience at a Cost</w:t>
      </w:r>
    </w:p>
    <w:p w14:paraId="4565F5B8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6.3: Protecting Yourself from Consumer Fraud</w:t>
      </w:r>
    </w:p>
    <w:p w14:paraId="73908090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6.4: Identity Theft Prevention and Recovery</w:t>
      </w:r>
    </w:p>
    <w:p w14:paraId="09A103A9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6.5: Understanding the Risks of Gambling</w:t>
      </w:r>
    </w:p>
    <w:p w14:paraId="01161ABA" w14:textId="77777777" w:rsidR="00973F66" w:rsidRDefault="00973F66" w:rsidP="00973F66">
      <w:pPr>
        <w:pStyle w:val="NormalWeb"/>
        <w:numPr>
          <w:ilvl w:val="0"/>
          <w:numId w:val="9"/>
        </w:numPr>
      </w:pPr>
      <w:r>
        <w:rPr>
          <w:rStyle w:val="selected"/>
          <w:rFonts w:eastAsiaTheme="majorEastAsia"/>
        </w:rPr>
        <w:t>Chapter 6.6: The Costs and Benefits of Gambling</w:t>
      </w:r>
    </w:p>
    <w:p w14:paraId="480C0B1D" w14:textId="77777777" w:rsidR="00973F66" w:rsidRDefault="00973F66" w:rsidP="00973F66">
      <w:pPr>
        <w:pStyle w:val="NormalWeb"/>
      </w:pPr>
      <w:r>
        <w:rPr>
          <w:rStyle w:val="selected"/>
          <w:rFonts w:eastAsiaTheme="majorEastAsia"/>
        </w:rPr>
        <w:t>&lt;</w:t>
      </w:r>
      <w:proofErr w:type="spellStart"/>
      <w:r>
        <w:rPr>
          <w:rStyle w:val="selected"/>
          <w:rFonts w:eastAsiaTheme="majorEastAsia"/>
        </w:rPr>
        <w:t>br</w:t>
      </w:r>
      <w:proofErr w:type="spellEnd"/>
      <w:r>
        <w:rPr>
          <w:rStyle w:val="selected"/>
          <w:rFonts w:eastAsiaTheme="majorEastAsia"/>
        </w:rPr>
        <w:t xml:space="preserve">&gt; </w:t>
      </w:r>
      <w:r>
        <w:rPr>
          <w:rStyle w:val="selected"/>
          <w:rFonts w:eastAsiaTheme="majorEastAsia"/>
          <w:b/>
          <w:bCs/>
          <w:i/>
          <w:iCs/>
        </w:rPr>
        <w:t>Insurance</w:t>
      </w:r>
    </w:p>
    <w:p w14:paraId="1113448F" w14:textId="77777777" w:rsidR="00973F66" w:rsidRDefault="00973F66" w:rsidP="00973F66">
      <w:pPr>
        <w:pStyle w:val="NormalWeb"/>
        <w:numPr>
          <w:ilvl w:val="0"/>
          <w:numId w:val="10"/>
        </w:numPr>
      </w:pPr>
      <w:r>
        <w:rPr>
          <w:rStyle w:val="selected"/>
          <w:rFonts w:eastAsiaTheme="majorEastAsia"/>
        </w:rPr>
        <w:t>Chapter 6.7: Understanding and Managing Risk</w:t>
      </w:r>
    </w:p>
    <w:p w14:paraId="2B39EBE8" w14:textId="77777777" w:rsidR="00973F66" w:rsidRDefault="00973F66" w:rsidP="00973F66">
      <w:pPr>
        <w:pStyle w:val="NormalWeb"/>
        <w:numPr>
          <w:ilvl w:val="0"/>
          <w:numId w:val="10"/>
        </w:numPr>
      </w:pPr>
      <w:r>
        <w:rPr>
          <w:rStyle w:val="selected"/>
          <w:rFonts w:eastAsiaTheme="majorEastAsia"/>
        </w:rPr>
        <w:t>Chapter 6.8: Insurance as a Risk Management Tool</w:t>
      </w:r>
    </w:p>
    <w:p w14:paraId="681BE178" w14:textId="77777777" w:rsidR="00973F66" w:rsidRDefault="00973F66" w:rsidP="00973F66">
      <w:pPr>
        <w:pStyle w:val="NormalWeb"/>
        <w:numPr>
          <w:ilvl w:val="0"/>
          <w:numId w:val="10"/>
        </w:numPr>
      </w:pPr>
      <w:r>
        <w:rPr>
          <w:rStyle w:val="selected"/>
          <w:rFonts w:eastAsiaTheme="majorEastAsia"/>
        </w:rPr>
        <w:t>Chapter 6.9: Managing Insurance Costs</w:t>
      </w:r>
    </w:p>
    <w:p w14:paraId="280B0E7E" w14:textId="77777777" w:rsidR="00973F66" w:rsidRDefault="00973F66"/>
    <w:sectPr w:rsidR="0097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181C"/>
    <w:multiLevelType w:val="multilevel"/>
    <w:tmpl w:val="52AC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7294"/>
    <w:multiLevelType w:val="multilevel"/>
    <w:tmpl w:val="EDC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272C"/>
    <w:multiLevelType w:val="multilevel"/>
    <w:tmpl w:val="D84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27BB"/>
    <w:multiLevelType w:val="multilevel"/>
    <w:tmpl w:val="D2C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24137"/>
    <w:multiLevelType w:val="multilevel"/>
    <w:tmpl w:val="2BF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93934"/>
    <w:multiLevelType w:val="multilevel"/>
    <w:tmpl w:val="9FD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52DE4"/>
    <w:multiLevelType w:val="multilevel"/>
    <w:tmpl w:val="9586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51063"/>
    <w:multiLevelType w:val="multilevel"/>
    <w:tmpl w:val="CEE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667FB"/>
    <w:multiLevelType w:val="multilevel"/>
    <w:tmpl w:val="CD1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1180C"/>
    <w:multiLevelType w:val="multilevel"/>
    <w:tmpl w:val="7BD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590945">
    <w:abstractNumId w:val="1"/>
  </w:num>
  <w:num w:numId="2" w16cid:durableId="1808664870">
    <w:abstractNumId w:val="9"/>
  </w:num>
  <w:num w:numId="3" w16cid:durableId="1669863072">
    <w:abstractNumId w:val="3"/>
  </w:num>
  <w:num w:numId="4" w16cid:durableId="349724312">
    <w:abstractNumId w:val="4"/>
  </w:num>
  <w:num w:numId="5" w16cid:durableId="165439865">
    <w:abstractNumId w:val="5"/>
  </w:num>
  <w:num w:numId="6" w16cid:durableId="135606623">
    <w:abstractNumId w:val="2"/>
  </w:num>
  <w:num w:numId="7" w16cid:durableId="836766652">
    <w:abstractNumId w:val="6"/>
  </w:num>
  <w:num w:numId="8" w16cid:durableId="1593514328">
    <w:abstractNumId w:val="7"/>
  </w:num>
  <w:num w:numId="9" w16cid:durableId="1636446269">
    <w:abstractNumId w:val="0"/>
  </w:num>
  <w:num w:numId="10" w16cid:durableId="321979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66"/>
    <w:rsid w:val="00162A88"/>
    <w:rsid w:val="0097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31EA"/>
  <w15:chartTrackingRefBased/>
  <w15:docId w15:val="{0EB94910-DD95-5840-B927-DB9FE3643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F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97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2025-08-31T07:50:00Z</dcterms:created>
  <dcterms:modified xsi:type="dcterms:W3CDTF">2025-08-31T07:52:00Z</dcterms:modified>
</cp:coreProperties>
</file>