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159D" w14:textId="77777777" w:rsidR="00B4787A" w:rsidRPr="00B4787A" w:rsidRDefault="00B4787A" w:rsidP="00B4787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New Jersey curriculum alignment.</w:t>
      </w:r>
    </w:p>
    <w:p w14:paraId="0CBAF870" w14:textId="77777777" w:rsidR="00B4787A" w:rsidRPr="00B4787A" w:rsidRDefault="00B4787A" w:rsidP="00B4787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This document organizes the full 45-chapter curriculum under New Jersey's seven detailed standards (9.1.12.A - 9.1.12.G). It incorporates the new "Automobile Finance" chapter, and I've added clear subheadings within each standard to make the structure easy to follow.</w:t>
      </w:r>
    </w:p>
    <w:p w14:paraId="7BD99057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37CCB9C4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64834786" w14:textId="77777777" w:rsidR="00B4787A" w:rsidRPr="00B4787A" w:rsidRDefault="00B4787A" w:rsidP="00B4787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New Jersey Academic Standards</w:t>
      </w:r>
    </w:p>
    <w:p w14:paraId="1B5BCB81" w14:textId="77777777" w:rsidR="00B4787A" w:rsidRPr="00B4787A" w:rsidRDefault="00B4787A" w:rsidP="00B4787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New Jersey Student Learning Standards for Personal Financial Literacy (Standard 9.1).</w:t>
      </w:r>
    </w:p>
    <w:p w14:paraId="2B9AD5F4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43FF6400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6E0EAD0E" w14:textId="77777777" w:rsidR="00B4787A" w:rsidRPr="00B4787A" w:rsidRDefault="00B4787A" w:rsidP="00B4787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9.1.12.A: Income and Careers</w:t>
      </w:r>
    </w:p>
    <w:p w14:paraId="4411F3DD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7FC52FD6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A.1: Career Exploration &amp; Planning</w:t>
      </w:r>
    </w:p>
    <w:p w14:paraId="4AC91AAE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A.2: Education ROI &amp; Career Advancement</w:t>
      </w:r>
    </w:p>
    <w:p w14:paraId="20115B4E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A.3: Entrepreneurship Fundamentals</w:t>
      </w:r>
    </w:p>
    <w:p w14:paraId="54E88DDC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A.4: Navigating the Job Market</w:t>
      </w:r>
    </w:p>
    <w:p w14:paraId="7897188B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A.5: Career Planning &amp; Development</w:t>
      </w:r>
    </w:p>
    <w:p w14:paraId="579594B7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A.6: Job Search Strategies</w:t>
      </w:r>
    </w:p>
    <w:p w14:paraId="207712DD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A.7: Workplace Skills</w:t>
      </w:r>
    </w:p>
    <w:p w14:paraId="131B6EB9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A.8: Professional Development</w:t>
      </w:r>
    </w:p>
    <w:p w14:paraId="1E7358CB" w14:textId="77777777" w:rsidR="00B4787A" w:rsidRPr="00B4787A" w:rsidRDefault="00B4787A" w:rsidP="00B4787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A.9: Resume Building</w:t>
      </w:r>
    </w:p>
    <w:p w14:paraId="4A223651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Sources</w:t>
      </w:r>
    </w:p>
    <w:p w14:paraId="1D8AA1B6" w14:textId="77777777" w:rsidR="00B4787A" w:rsidRPr="00B4787A" w:rsidRDefault="00B4787A" w:rsidP="00B4787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A.10: Understanding Income Sources</w:t>
      </w:r>
    </w:p>
    <w:p w14:paraId="6A6A8640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37AC3F00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13AD3BDD" w14:textId="77777777" w:rsidR="00B4787A" w:rsidRPr="00B4787A" w:rsidRDefault="00B4787A" w:rsidP="00B4787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9.1.12.B: Money Management</w:t>
      </w:r>
    </w:p>
    <w:p w14:paraId="77DE555D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277DC6F3" w14:textId="77777777" w:rsidR="00B4787A" w:rsidRPr="00B4787A" w:rsidRDefault="00B4787A" w:rsidP="00B4787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B.1: Banking Fundamentals</w:t>
      </w:r>
    </w:p>
    <w:p w14:paraId="1F461CFD" w14:textId="77777777" w:rsidR="00B4787A" w:rsidRPr="00B4787A" w:rsidRDefault="00B4787A" w:rsidP="00B4787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B.2: Digital Banking &amp; FinTech</w:t>
      </w:r>
    </w:p>
    <w:p w14:paraId="5FD2DF0A" w14:textId="77777777" w:rsidR="00B4787A" w:rsidRPr="00B4787A" w:rsidRDefault="00B4787A" w:rsidP="00B4787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B.3: Financial Service Providers</w:t>
      </w:r>
    </w:p>
    <w:p w14:paraId="37C36743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5E5D4D01" w14:textId="77777777" w:rsidR="00B4787A" w:rsidRPr="00B4787A" w:rsidRDefault="00B4787A" w:rsidP="00B4787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B.4: Building a Savings Habit</w:t>
      </w:r>
    </w:p>
    <w:p w14:paraId="3C600D22" w14:textId="77777777" w:rsidR="00B4787A" w:rsidRPr="00B4787A" w:rsidRDefault="00B4787A" w:rsidP="00B4787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B.5: Strategic Spending</w:t>
      </w:r>
    </w:p>
    <w:p w14:paraId="4BE4AF29" w14:textId="77777777" w:rsidR="00B4787A" w:rsidRPr="00B4787A" w:rsidRDefault="00B4787A" w:rsidP="00B4787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B.6: Emergency Fund Planning</w:t>
      </w:r>
    </w:p>
    <w:p w14:paraId="1F20A19F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Decision Making</w:t>
      </w:r>
    </w:p>
    <w:p w14:paraId="41E50F8D" w14:textId="77777777" w:rsidR="00B4787A" w:rsidRPr="00B4787A" w:rsidRDefault="00B4787A" w:rsidP="00B4787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B.7: Personal Financial Decision Framework</w:t>
      </w:r>
    </w:p>
    <w:p w14:paraId="0B92764F" w14:textId="77777777" w:rsidR="00B4787A" w:rsidRPr="00B4787A" w:rsidRDefault="00B4787A" w:rsidP="00B4787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B.8: Major Purchase Decision Making</w:t>
      </w:r>
    </w:p>
    <w:p w14:paraId="0CD15F43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65F9A529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57404768" w14:textId="77777777" w:rsidR="00B4787A" w:rsidRPr="00B4787A" w:rsidRDefault="00B4787A" w:rsidP="00B4787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9.1.12.C: Credit and Debt Management</w:t>
      </w:r>
    </w:p>
    <w:p w14:paraId="58005837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2045245A" w14:textId="77777777" w:rsidR="00B4787A" w:rsidRPr="00B4787A" w:rsidRDefault="00B4787A" w:rsidP="00B4787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C.1: Understanding Credit Fundamentals</w:t>
      </w:r>
    </w:p>
    <w:p w14:paraId="17905987" w14:textId="77777777" w:rsidR="00B4787A" w:rsidRPr="00B4787A" w:rsidRDefault="00B4787A" w:rsidP="00B4787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C.2: Managing Debt Responsibly</w:t>
      </w:r>
    </w:p>
    <w:p w14:paraId="17C758CD" w14:textId="77777777" w:rsidR="00B4787A" w:rsidRPr="00B4787A" w:rsidRDefault="00B4787A" w:rsidP="00B4787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C.3: Building a Strong Credit Profile</w:t>
      </w:r>
    </w:p>
    <w:p w14:paraId="55A67242" w14:textId="77777777" w:rsidR="00B4787A" w:rsidRPr="00B4787A" w:rsidRDefault="00B4787A" w:rsidP="00B4787A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C.4: Strategies for Managing High Levels of Debt</w:t>
      </w:r>
    </w:p>
    <w:p w14:paraId="6D7A3A3F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05196ECA" w14:textId="77777777" w:rsidR="00B4787A" w:rsidRPr="00B4787A" w:rsidRDefault="00B4787A" w:rsidP="00B4787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C.5: Housing Options &amp; Economics</w:t>
      </w:r>
    </w:p>
    <w:p w14:paraId="3BBBDE13" w14:textId="77777777" w:rsidR="00B4787A" w:rsidRPr="00B4787A" w:rsidRDefault="00B4787A" w:rsidP="00B4787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C.6: Renting vs. Buying Analysis</w:t>
      </w:r>
    </w:p>
    <w:p w14:paraId="31435C90" w14:textId="77777777" w:rsidR="00B4787A" w:rsidRPr="00B4787A" w:rsidRDefault="00B4787A" w:rsidP="00B4787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C.7: Transportation Choices &amp; Costs</w:t>
      </w:r>
    </w:p>
    <w:p w14:paraId="0042DC1B" w14:textId="77777777" w:rsidR="00B4787A" w:rsidRPr="00B4787A" w:rsidRDefault="00B4787A" w:rsidP="00B4787A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C.8: Automobile Finance</w:t>
      </w:r>
    </w:p>
    <w:p w14:paraId="2002987B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3541FEA5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1EA061A8" w14:textId="77777777" w:rsidR="00B4787A" w:rsidRPr="00B4787A" w:rsidRDefault="00B4787A" w:rsidP="00B4787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9.1.12.D: Planning, Saving, and Investing</w:t>
      </w:r>
    </w:p>
    <w:p w14:paraId="09CF2A06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Planning</w:t>
      </w:r>
    </w:p>
    <w:p w14:paraId="6B8BE04C" w14:textId="77777777" w:rsidR="00B4787A" w:rsidRPr="00B4787A" w:rsidRDefault="00B4787A" w:rsidP="00B4787A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D.1: Goal Setting &amp; Financial Planning</w:t>
      </w:r>
    </w:p>
    <w:p w14:paraId="7028C5AF" w14:textId="77777777" w:rsidR="00B4787A" w:rsidRPr="00B4787A" w:rsidRDefault="00B4787A" w:rsidP="00B4787A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D.2: Lifestyle &amp; Financial Balance</w:t>
      </w:r>
    </w:p>
    <w:p w14:paraId="6734B100" w14:textId="77777777" w:rsidR="00B4787A" w:rsidRPr="00B4787A" w:rsidRDefault="00B4787A" w:rsidP="00B4787A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D.3: Life Stage Financial Planning</w:t>
      </w:r>
    </w:p>
    <w:p w14:paraId="6B773287" w14:textId="77777777" w:rsidR="00B4787A" w:rsidRPr="00B4787A" w:rsidRDefault="00B4787A" w:rsidP="00B478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Investing</w:t>
      </w:r>
    </w:p>
    <w:p w14:paraId="56DA439A" w14:textId="77777777" w:rsidR="00B4787A" w:rsidRPr="00B4787A" w:rsidRDefault="00B4787A" w:rsidP="00B4787A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D.4: Investment Fundamentals</w:t>
      </w:r>
    </w:p>
    <w:p w14:paraId="0E604DA1" w14:textId="77777777" w:rsidR="00B4787A" w:rsidRPr="00B4787A" w:rsidRDefault="00B4787A" w:rsidP="00B4787A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D.5: Investment Vehicles</w:t>
      </w:r>
    </w:p>
    <w:p w14:paraId="1F8ED56F" w14:textId="77777777" w:rsidR="00B4787A" w:rsidRPr="00B4787A" w:rsidRDefault="00B4787A" w:rsidP="00B4787A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D.6: Retirement Planning</w:t>
      </w:r>
    </w:p>
    <w:p w14:paraId="459EC2CA" w14:textId="77777777" w:rsidR="00B4787A" w:rsidRPr="00B4787A" w:rsidRDefault="00B4787A" w:rsidP="00B4787A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D.7: Portfolio Construction</w:t>
      </w:r>
    </w:p>
    <w:p w14:paraId="76A39373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3FD2D73C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7C5C9B55" w14:textId="77777777" w:rsidR="00B4787A" w:rsidRPr="00B4787A" w:rsidRDefault="00B4787A" w:rsidP="00B4787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9.1.12.E: Becoming a Critical Consumer</w:t>
      </w:r>
    </w:p>
    <w:p w14:paraId="07C01620" w14:textId="77777777" w:rsidR="00B4787A" w:rsidRPr="00B4787A" w:rsidRDefault="00B4787A" w:rsidP="00B4787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E.1: Media &amp; Marketing Influence on Financial Decisions</w:t>
      </w:r>
    </w:p>
    <w:p w14:paraId="6F1D820B" w14:textId="77777777" w:rsidR="00B4787A" w:rsidRPr="00B4787A" w:rsidRDefault="00B4787A" w:rsidP="00B4787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E.2: Consumer Protection Laws</w:t>
      </w:r>
    </w:p>
    <w:p w14:paraId="5A12D795" w14:textId="77777777" w:rsidR="00B4787A" w:rsidRPr="00B4787A" w:rsidRDefault="00B4787A" w:rsidP="00B4787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E.3: Identity Theft Prevention</w:t>
      </w:r>
    </w:p>
    <w:p w14:paraId="1FE54513" w14:textId="77777777" w:rsidR="00B4787A" w:rsidRPr="00B4787A" w:rsidRDefault="00B4787A" w:rsidP="00B4787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E.4: Charitable Giving &amp; Financial Planning</w:t>
      </w:r>
    </w:p>
    <w:p w14:paraId="3997AA7E" w14:textId="77777777" w:rsidR="00B4787A" w:rsidRPr="00B4787A" w:rsidRDefault="00B4787A" w:rsidP="00B4787A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E.5: Checking Out Charitable Groups</w:t>
      </w:r>
    </w:p>
    <w:p w14:paraId="0A746D48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1697E3BA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2F911DE7" w14:textId="77777777" w:rsidR="00B4787A" w:rsidRPr="00B4787A" w:rsidRDefault="00B4787A" w:rsidP="00B4787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9.1.12.F: Civic Financial Responsibility</w:t>
      </w:r>
    </w:p>
    <w:p w14:paraId="6D34E9FA" w14:textId="77777777" w:rsidR="00B4787A" w:rsidRPr="00B4787A" w:rsidRDefault="00B4787A" w:rsidP="00B4787A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F.1: Understanding Federal &amp; State Taxes</w:t>
      </w:r>
    </w:p>
    <w:p w14:paraId="22010B77" w14:textId="77777777" w:rsidR="00B4787A" w:rsidRPr="00B4787A" w:rsidRDefault="00B4787A" w:rsidP="00B4787A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F.2: Tax Planning Strategies</w:t>
      </w:r>
    </w:p>
    <w:p w14:paraId="1D21A06F" w14:textId="77777777" w:rsidR="00B4787A" w:rsidRPr="00B4787A" w:rsidRDefault="00B4787A" w:rsidP="00B4787A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F.3: Tax Filing Requirements</w:t>
      </w:r>
    </w:p>
    <w:p w14:paraId="2E1491C0" w14:textId="77777777" w:rsidR="00B4787A" w:rsidRPr="00B4787A" w:rsidRDefault="001E68CF" w:rsidP="00B478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E68CF">
        <w:rPr>
          <w:rFonts w:ascii="Arial" w:eastAsia="Times New Roman" w:hAnsi="Arial" w:cs="Arial"/>
          <w:noProof/>
          <w:color w:val="1B1C1D"/>
          <w:kern w:val="0"/>
        </w:rPr>
        <w:pict w14:anchorId="5C08229F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66283AE7" w14:textId="77777777" w:rsidR="00B4787A" w:rsidRPr="00B4787A" w:rsidRDefault="00B4787A" w:rsidP="00B4787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9.1.12.G: Risk Management and Insurance</w:t>
      </w:r>
    </w:p>
    <w:p w14:paraId="3068AD0D" w14:textId="77777777" w:rsidR="00B4787A" w:rsidRPr="00B4787A" w:rsidRDefault="00B4787A" w:rsidP="00B4787A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G.1: Understanding Risk &amp; Insurance Basics</w:t>
      </w:r>
    </w:p>
    <w:p w14:paraId="3AC38C3D" w14:textId="77777777" w:rsidR="00B4787A" w:rsidRPr="00B4787A" w:rsidRDefault="00B4787A" w:rsidP="00B4787A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G.2: Property &amp; Liability Insurance</w:t>
      </w:r>
    </w:p>
    <w:p w14:paraId="7AE7C2B1" w14:textId="77777777" w:rsidR="00B4787A" w:rsidRPr="00B4787A" w:rsidRDefault="00B4787A" w:rsidP="00B4787A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G.3: Health &amp; Disability Insurance</w:t>
      </w:r>
    </w:p>
    <w:p w14:paraId="28250BE5" w14:textId="77777777" w:rsidR="00B4787A" w:rsidRPr="00B4787A" w:rsidRDefault="00B4787A" w:rsidP="00B4787A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4787A">
        <w:rPr>
          <w:rFonts w:ascii="Arial" w:eastAsia="Times New Roman" w:hAnsi="Arial" w:cs="Arial"/>
          <w:color w:val="1B1C1D"/>
          <w:kern w:val="0"/>
          <w14:ligatures w14:val="none"/>
        </w:rPr>
        <w:t>Chapter G.4: Life Insurance Planning</w:t>
      </w:r>
    </w:p>
    <w:p w14:paraId="5753A9B0" w14:textId="77777777" w:rsidR="00B4787A" w:rsidRDefault="00B4787A"/>
    <w:sectPr w:rsidR="00B4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811A3"/>
    <w:multiLevelType w:val="multilevel"/>
    <w:tmpl w:val="A8F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7163F"/>
    <w:multiLevelType w:val="multilevel"/>
    <w:tmpl w:val="5DA8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179FE"/>
    <w:multiLevelType w:val="multilevel"/>
    <w:tmpl w:val="9B3E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9396B"/>
    <w:multiLevelType w:val="multilevel"/>
    <w:tmpl w:val="105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C0645"/>
    <w:multiLevelType w:val="multilevel"/>
    <w:tmpl w:val="8DB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3640"/>
    <w:multiLevelType w:val="multilevel"/>
    <w:tmpl w:val="0DC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47DBA"/>
    <w:multiLevelType w:val="multilevel"/>
    <w:tmpl w:val="37F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01634"/>
    <w:multiLevelType w:val="multilevel"/>
    <w:tmpl w:val="0B5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30E27"/>
    <w:multiLevelType w:val="multilevel"/>
    <w:tmpl w:val="430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90BFB"/>
    <w:multiLevelType w:val="multilevel"/>
    <w:tmpl w:val="9D5A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66C99"/>
    <w:multiLevelType w:val="multilevel"/>
    <w:tmpl w:val="D7E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C57E0"/>
    <w:multiLevelType w:val="multilevel"/>
    <w:tmpl w:val="C5D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80155">
    <w:abstractNumId w:val="11"/>
  </w:num>
  <w:num w:numId="2" w16cid:durableId="343674242">
    <w:abstractNumId w:val="4"/>
  </w:num>
  <w:num w:numId="3" w16cid:durableId="1521355683">
    <w:abstractNumId w:val="9"/>
  </w:num>
  <w:num w:numId="4" w16cid:durableId="635792344">
    <w:abstractNumId w:val="3"/>
  </w:num>
  <w:num w:numId="5" w16cid:durableId="862286299">
    <w:abstractNumId w:val="1"/>
  </w:num>
  <w:num w:numId="6" w16cid:durableId="2015454316">
    <w:abstractNumId w:val="5"/>
  </w:num>
  <w:num w:numId="7" w16cid:durableId="1779525704">
    <w:abstractNumId w:val="7"/>
  </w:num>
  <w:num w:numId="8" w16cid:durableId="476453163">
    <w:abstractNumId w:val="10"/>
  </w:num>
  <w:num w:numId="9" w16cid:durableId="1045913316">
    <w:abstractNumId w:val="6"/>
  </w:num>
  <w:num w:numId="10" w16cid:durableId="1186670849">
    <w:abstractNumId w:val="0"/>
  </w:num>
  <w:num w:numId="11" w16cid:durableId="1347706029">
    <w:abstractNumId w:val="8"/>
  </w:num>
  <w:num w:numId="12" w16cid:durableId="141748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7A"/>
    <w:rsid w:val="00162A88"/>
    <w:rsid w:val="001E68CF"/>
    <w:rsid w:val="00B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6D24"/>
  <w15:chartTrackingRefBased/>
  <w15:docId w15:val="{004722A8-ED1E-4B4C-A207-3D5FCA6E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7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2025-09-02T22:30:00Z</dcterms:created>
  <dcterms:modified xsi:type="dcterms:W3CDTF">2025-09-02T22:31:00Z</dcterms:modified>
</cp:coreProperties>
</file>