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57BE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Perfect—here’s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stacked / by-standard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crosswalk you asked for: show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 state standard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(Ohio’s 7 HS topics) and, under each,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Oklahoma-aligned PFL Academy chapters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that support it. Ohio’s topics come from the state’s 2025 update (which also added Free Market Capitalism). (</w:t>
      </w:r>
      <w:hyperlink r:id="rId5" w:tooltip="Ohio's Learning Standards For Financial Literacy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  <w:r w:rsidRPr="001A20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A2ACD7F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E4FA712">
          <v:rect id="Horizontal Line 1" o:spid="_x0000_s103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71A40D3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Ohio → Oklahoma (by Ohio HS Financial Literacy Topic)</w:t>
      </w:r>
    </w:p>
    <w:p w14:paraId="4535C7A0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 Financial Responsibility &amp; Decision-Making</w:t>
      </w:r>
    </w:p>
    <w:p w14:paraId="3B383166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Oklahoma-aligned chapters (PFL Academy):</w:t>
      </w:r>
    </w:p>
    <w:p w14:paraId="75CBDB96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1.1: Career Exploration &amp; Planning</w:t>
      </w:r>
    </w:p>
    <w:p w14:paraId="28B3F8EA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1.2: Understanding Income Sources</w:t>
      </w:r>
    </w:p>
    <w:p w14:paraId="1B60E062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1.3: Education ROI &amp; Career Advancement</w:t>
      </w:r>
    </w:p>
    <w:p w14:paraId="6E8CCBFE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1.4: Entrepreneurship Fundamentals</w:t>
      </w:r>
    </w:p>
    <w:p w14:paraId="2A7AB88D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1.5: Navigating the Job Market</w:t>
      </w:r>
    </w:p>
    <w:p w14:paraId="4106B4A4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8.1: Personal Financial Decision Framework</w:t>
      </w:r>
    </w:p>
    <w:p w14:paraId="394CD2FE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8.2: Major Purchase Decision-Making</w:t>
      </w:r>
    </w:p>
    <w:p w14:paraId="534724D4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11.1: Goal Setting &amp; Financial Planning</w:t>
      </w:r>
    </w:p>
    <w:p w14:paraId="6B5CA896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11.2: Lifestyle &amp; Financial Balance</w:t>
      </w:r>
    </w:p>
    <w:p w14:paraId="5CBC7EF2" w14:textId="77777777" w:rsidR="001E4AEF" w:rsidRPr="001A2067" w:rsidRDefault="001E4AEF" w:rsidP="001E4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11.3: Life-Stage Financial Planning</w:t>
      </w:r>
    </w:p>
    <w:p w14:paraId="465EFEE1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9AB67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564C5F8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2) Planning &amp; Money Management</w:t>
      </w:r>
    </w:p>
    <w:p w14:paraId="460B98D4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Oklahoma-aligned chapters (PFL Academy):</w:t>
      </w:r>
    </w:p>
    <w:p w14:paraId="45F2DFC5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2.1: Understanding Federal &amp; State Taxes</w:t>
      </w:r>
    </w:p>
    <w:p w14:paraId="117F71D8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2.2: Tax Planning Strategies</w:t>
      </w:r>
    </w:p>
    <w:p w14:paraId="613F26CF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2.3: Tax Filing Requirements</w:t>
      </w:r>
    </w:p>
    <w:p w14:paraId="4EC0CE02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3.1: Banking Fundamentals</w:t>
      </w:r>
    </w:p>
    <w:p w14:paraId="55ABF166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3.2: Digital Banking &amp; FinTech</w:t>
      </w:r>
    </w:p>
    <w:p w14:paraId="4058CB9E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3.3: Financial Service Providers</w:t>
      </w:r>
    </w:p>
    <w:p w14:paraId="29884604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4.1: Building a Savings Habit</w:t>
      </w:r>
    </w:p>
    <w:p w14:paraId="6BF2C438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4.2: Strategic Spending</w:t>
      </w:r>
    </w:p>
    <w:p w14:paraId="5B5E7E18" w14:textId="77777777" w:rsidR="001E4AEF" w:rsidRPr="001A2067" w:rsidRDefault="001E4AEF" w:rsidP="001E4A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4.3: Emergency Fund Planning</w:t>
      </w:r>
    </w:p>
    <w:p w14:paraId="5318522F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1FE4D57">
          <v:rect id="Horizontal Line 3" o:spid="_x0000_s103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715AB64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3) Informed Consumer</w:t>
      </w:r>
    </w:p>
    <w:p w14:paraId="455CFEC2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Oklahoma-aligned chapters (PFL Academy):</w:t>
      </w:r>
    </w:p>
    <w:p w14:paraId="1BA633BE" w14:textId="77777777" w:rsidR="001E4AEF" w:rsidRPr="001A2067" w:rsidRDefault="001E4AEF" w:rsidP="001E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3.1: Banking Fundamentals</w:t>
      </w:r>
    </w:p>
    <w:p w14:paraId="521BBCA4" w14:textId="77777777" w:rsidR="001E4AEF" w:rsidRPr="001A2067" w:rsidRDefault="001E4AEF" w:rsidP="001E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3.2: Digital Banking &amp; FinTech</w:t>
      </w:r>
    </w:p>
    <w:p w14:paraId="0D20B766" w14:textId="77777777" w:rsidR="001E4AEF" w:rsidRPr="001A2067" w:rsidRDefault="001E4AEF" w:rsidP="001E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3.3: Financial Service Providers</w:t>
      </w:r>
    </w:p>
    <w:p w14:paraId="3B287309" w14:textId="77777777" w:rsidR="001E4AEF" w:rsidRPr="001A2067" w:rsidRDefault="001E4AEF" w:rsidP="001E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9.1: Media &amp; Marketing Influence on Financial Decisions</w:t>
      </w:r>
    </w:p>
    <w:p w14:paraId="19D1F5D7" w14:textId="77777777" w:rsidR="001E4AEF" w:rsidRPr="001A2067" w:rsidRDefault="001E4AEF" w:rsidP="001E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12.1: Consumer Protection Laws</w:t>
      </w:r>
    </w:p>
    <w:p w14:paraId="26D0FD38" w14:textId="77777777" w:rsidR="001E4AEF" w:rsidRPr="001A2067" w:rsidRDefault="001E4AEF" w:rsidP="001E4A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12.2: Identity Theft Prevention</w:t>
      </w:r>
    </w:p>
    <w:p w14:paraId="3A8F0517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6792119">
          <v:rect id="Horizontal Line 4" o:spid="_x0000_s103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BC32298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4) Investing</w:t>
      </w:r>
    </w:p>
    <w:p w14:paraId="2812CF87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Oklahoma-aligned chapters (PFL Academy):</w:t>
      </w:r>
    </w:p>
    <w:p w14:paraId="74B02B42" w14:textId="77777777" w:rsidR="001E4AEF" w:rsidRPr="001A2067" w:rsidRDefault="001E4AEF" w:rsidP="001E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7.1: Investment Fundamentals</w:t>
      </w:r>
    </w:p>
    <w:p w14:paraId="25786C2E" w14:textId="77777777" w:rsidR="001E4AEF" w:rsidRPr="001A2067" w:rsidRDefault="001E4AEF" w:rsidP="001E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7.2: Investment Vehicles</w:t>
      </w:r>
    </w:p>
    <w:p w14:paraId="17DAD517" w14:textId="77777777" w:rsidR="001E4AEF" w:rsidRPr="001A2067" w:rsidRDefault="001E4AEF" w:rsidP="001E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7.3: Retirement Planning</w:t>
      </w:r>
    </w:p>
    <w:p w14:paraId="412D858F" w14:textId="77777777" w:rsidR="001E4AEF" w:rsidRPr="001A2067" w:rsidRDefault="001E4AEF" w:rsidP="001E4A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7.4: Portfolio Construction</w:t>
      </w:r>
    </w:p>
    <w:p w14:paraId="0A698D41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9289A5E">
          <v:rect id="Horizontal Line 5" o:spid="_x0000_s103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E5CA2F9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5) Credit &amp; Debt</w:t>
      </w:r>
    </w:p>
    <w:p w14:paraId="12E4F251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Oklahoma-aligned chapters (PFL Academy):</w:t>
      </w:r>
    </w:p>
    <w:p w14:paraId="7430C851" w14:textId="77777777" w:rsidR="001E4AEF" w:rsidRPr="001A2067" w:rsidRDefault="001E4AEF" w:rsidP="001E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5.1: Understanding Credit Fundamentals</w:t>
      </w:r>
    </w:p>
    <w:p w14:paraId="0E81C2CA" w14:textId="77777777" w:rsidR="001E4AEF" w:rsidRPr="001A2067" w:rsidRDefault="001E4AEF" w:rsidP="001E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5.2: Managing Debt Responsibly</w:t>
      </w:r>
    </w:p>
    <w:p w14:paraId="231A807F" w14:textId="77777777" w:rsidR="001E4AEF" w:rsidRPr="001A2067" w:rsidRDefault="001E4AEF" w:rsidP="001E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5.3: Building a Strong Credit Profile</w:t>
      </w:r>
    </w:p>
    <w:p w14:paraId="4AC05C0E" w14:textId="77777777" w:rsidR="001E4AEF" w:rsidRPr="001A2067" w:rsidRDefault="001E4AEF" w:rsidP="001E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10.2: Renting vs Buying Analysis (loan &amp; amortization context)</w:t>
      </w:r>
    </w:p>
    <w:p w14:paraId="50986FB5" w14:textId="77777777" w:rsidR="001E4AEF" w:rsidRPr="001A2067" w:rsidRDefault="001E4AEF" w:rsidP="001E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10.4: Automobile Finance</w:t>
      </w:r>
    </w:p>
    <w:p w14:paraId="03025ECE" w14:textId="77777777" w:rsidR="001E4AEF" w:rsidRPr="001A2067" w:rsidRDefault="001E4AEF" w:rsidP="001E4A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13.1: Strategies for Managing High Levels of Debt</w:t>
      </w:r>
    </w:p>
    <w:p w14:paraId="0CFBB578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18C82D4">
          <v:rect id="Horizontal Line 6" o:spid="_x0000_s1035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F6D6BA7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6) Risk Management &amp; Insurance</w:t>
      </w:r>
    </w:p>
    <w:p w14:paraId="13C7B2D6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Oklahoma-aligned chapters (PFL Academy):</w:t>
      </w:r>
    </w:p>
    <w:p w14:paraId="6F2489C7" w14:textId="77777777" w:rsidR="001E4AEF" w:rsidRPr="001A2067" w:rsidRDefault="001E4AEF" w:rsidP="001E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6.1: Understanding Risk &amp; Insurance Basics</w:t>
      </w:r>
    </w:p>
    <w:p w14:paraId="67C68B2B" w14:textId="77777777" w:rsidR="001E4AEF" w:rsidRPr="001A2067" w:rsidRDefault="001E4AEF" w:rsidP="001E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6.2: Property &amp; Liability Insurance</w:t>
      </w:r>
    </w:p>
    <w:p w14:paraId="46D5DA0C" w14:textId="77777777" w:rsidR="001E4AEF" w:rsidRPr="001A2067" w:rsidRDefault="001E4AEF" w:rsidP="001E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6.3: Health &amp; Disability Insurance</w:t>
      </w:r>
    </w:p>
    <w:p w14:paraId="151AC7A4" w14:textId="77777777" w:rsidR="001E4AEF" w:rsidRPr="001A2067" w:rsidRDefault="001E4AEF" w:rsidP="001E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6.4: Life Insurance Planning</w:t>
      </w:r>
    </w:p>
    <w:p w14:paraId="3F69AAC8" w14:textId="77777777" w:rsidR="001E4AEF" w:rsidRPr="001A2067" w:rsidRDefault="001E4AEF" w:rsidP="001E4A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12.2: Identity Theft Prevention (risk reduction &amp; response)</w:t>
      </w:r>
    </w:p>
    <w:p w14:paraId="53C98A14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9EB2923">
          <v:rect id="Horizontal Line 7" o:spid="_x0000_s1034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5C30FC8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7) Free Market Capitalism</w:t>
      </w:r>
    </w:p>
    <w:p w14:paraId="574168C9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Supporting Oklahoma-aligned chapters (PFL Academy):</w:t>
      </w:r>
    </w:p>
    <w:p w14:paraId="035DCDE6" w14:textId="77777777" w:rsidR="001E4AEF" w:rsidRPr="001A2067" w:rsidRDefault="001E4AEF" w:rsidP="001E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1.4: Entrepreneurship Fundamentals</w:t>
      </w:r>
    </w:p>
    <w:p w14:paraId="40B0B317" w14:textId="77777777" w:rsidR="001E4AEF" w:rsidRPr="001A2067" w:rsidRDefault="001E4AEF" w:rsidP="001E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3.3: Financial Service Providers (role in market system)</w:t>
      </w:r>
    </w:p>
    <w:p w14:paraId="55D35E95" w14:textId="77777777" w:rsidR="001E4AEF" w:rsidRPr="001A2067" w:rsidRDefault="001E4AEF" w:rsidP="001E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7.1: Investment Fundamentals</w:t>
      </w:r>
    </w:p>
    <w:p w14:paraId="28E0632E" w14:textId="77777777" w:rsidR="001E4AEF" w:rsidRPr="001A2067" w:rsidRDefault="001E4AEF" w:rsidP="001E4A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7.2: Investment Vehicles</w:t>
      </w:r>
    </w:p>
    <w:p w14:paraId="4349A883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Ohio added Free Market Capitalism to HS financial literacy in the 2024–2025 revision; topics include entrepreneurship, markets, and price signals. (</w:t>
      </w:r>
      <w:hyperlink r:id="rId6" w:tooltip="Ohio's Model Curriculum for Financial Literacy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  <w:r w:rsidRPr="001A20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BD28A65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4332AF3">
          <v:rect id="Horizontal Line 8" o:spid="_x0000_s1033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714389B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8) Ohio Readiness (Value-Add) — </w:t>
      </w:r>
      <w:proofErr w:type="spellStart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OhioMeansJobs</w:t>
      </w:r>
      <w:proofErr w:type="spellEnd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-Readiness Seal &amp; Career Advising</w:t>
      </w:r>
    </w:p>
    <w:p w14:paraId="3DCC6C26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(Not an Ohio “standard,” but a clearly labeled add-on so districts see the value like ICAP/ILP elsewhere.)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readiness chapters (PFL Academy):</w:t>
      </w:r>
    </w:p>
    <w:p w14:paraId="665DBF79" w14:textId="77777777" w:rsidR="001E4AEF" w:rsidRPr="001A2067" w:rsidRDefault="001E4AEF" w:rsidP="001E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15.1: Career Planning &amp; Development</w:t>
      </w:r>
    </w:p>
    <w:p w14:paraId="358784B6" w14:textId="77777777" w:rsidR="001E4AEF" w:rsidRPr="001A2067" w:rsidRDefault="001E4AEF" w:rsidP="001E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15.2: Job Search Strategies</w:t>
      </w:r>
    </w:p>
    <w:p w14:paraId="2AFB0858" w14:textId="77777777" w:rsidR="001E4AEF" w:rsidRPr="001A2067" w:rsidRDefault="001E4AEF" w:rsidP="001E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15.3: Workplace Skills</w:t>
      </w:r>
    </w:p>
    <w:p w14:paraId="7B7BE3B8" w14:textId="77777777" w:rsidR="001E4AEF" w:rsidRPr="001A2067" w:rsidRDefault="001E4AEF" w:rsidP="001E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15.4: Professional Development</w:t>
      </w:r>
    </w:p>
    <w:p w14:paraId="5ADBFC2F" w14:textId="77777777" w:rsidR="001E4AEF" w:rsidRPr="001A2067" w:rsidRDefault="001E4AEF" w:rsidP="001E4A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15.5: Resume Building</w:t>
      </w:r>
    </w:p>
    <w:p w14:paraId="446677F5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Ohio doesn’t mandate ICAP; instead, districts implement a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Advising Policy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(with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Success Plans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) and may pursue the </w:t>
      </w:r>
      <w:proofErr w:type="spellStart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OhioMeansJobs</w:t>
      </w:r>
      <w:proofErr w:type="spellEnd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-Readiness Seal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(15 professional skills). Positioning these five chapters as a value-add band matches how you’ve handled OK/KY while staying true to Ohio’s framework. (</w:t>
      </w:r>
      <w:hyperlink r:id="rId7" w:tooltip="Career Advising Policy - Ohio Department of Education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  <w:r w:rsidRPr="001A20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14C686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B790325">
          <v:rect id="Horizontal Line 9" o:spid="_x0000_s1032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A10D852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If you want, I can drop this into a ready-to-commit file named:</w:t>
      </w:r>
    </w:p>
    <w:p w14:paraId="7347B33A" w14:textId="77777777" w:rsidR="001E4AEF" w:rsidRPr="001A2067" w:rsidRDefault="001E4AEF" w:rsidP="001E4A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State-Alignments/Ohio/Ohio-Alignment-to-Oklahoma-Standards.md (exactly this layout)</w:t>
      </w:r>
    </w:p>
    <w:p w14:paraId="20B3B86D" w14:textId="77777777" w:rsidR="001E4AEF" w:rsidRPr="001A2067" w:rsidRDefault="001E4AEF" w:rsidP="001E4AE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…and then generate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Ohio-only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alignment and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designed HTML one-pager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to round out the three-file set for Ohio.</w:t>
      </w:r>
    </w:p>
    <w:p w14:paraId="53FFEFA3" w14:textId="404B46B0" w:rsidR="001E4AEF" w:rsidRPr="001A2067" w:rsidRDefault="001E4AEF">
      <w:pPr>
        <w:rPr>
          <w:rFonts w:ascii="Times New Roman" w:hAnsi="Times New Roman" w:cs="Times New Roman"/>
        </w:rPr>
      </w:pPr>
      <w:r w:rsidRPr="001A2067">
        <w:rPr>
          <w:rFonts w:ascii="Times New Roman" w:hAnsi="Times New Roman" w:cs="Times New Roman"/>
        </w:rPr>
        <w:t>Notes:</w:t>
      </w:r>
    </w:p>
    <w:p w14:paraId="6498A2D1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Short answer: you’re ~95% there. Ohio’s 7-topic set is covered by your 45 chapters. The only places I’d tighten to make it truly 1:1 are a few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statements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that Ohio calls out. Here’s a quick audit with fixes that reuse what you already have.</w:t>
      </w:r>
    </w:p>
    <w:p w14:paraId="4EAB1400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What’s missing (and how to patch it fast)</w:t>
      </w:r>
    </w:p>
    <w:p w14:paraId="142B294E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1) Topic 1 — “education, employment, and military enlistment”</w:t>
      </w:r>
    </w:p>
    <w:p w14:paraId="56DC5EFD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Ohio’s statement 3 names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three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pathways explicitly. Add a one-line callout in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Education ROI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(or 15.3 Workplace Skills) comparing costs/benefits of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military enlistment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alongside education &amp; employment. </w:t>
      </w:r>
      <w:hyperlink r:id="rId8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5F34FEF4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Patch: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1.3 + teacher note/example on enlistment benefits (GI Bill, pay, training) → satisfies T1.3.</w:t>
      </w:r>
    </w:p>
    <w:p w14:paraId="0F25B7D3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38100B4">
          <v:rect id="Horizontal Line 19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509E3AF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2) Topic 2 — Planned purchases must include indirect costs</w:t>
      </w:r>
    </w:p>
    <w:p w14:paraId="577075BB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Statement 7 requires students to factor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sales/use/excise taxes, shipping, handling, delivery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in purchase planning. Make this explicit in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Strategic Spending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(a checklist) and tie to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2.1–2.3 Taxes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9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106179E0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Patch: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Add an “indirect costs” bullet &amp; mini-calculation in 4.2; reference 2.x for tax impacts → satisfies T2.7.</w:t>
      </w:r>
    </w:p>
    <w:p w14:paraId="068D5248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AE8989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9A47B4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3) Topic 3 — Property rights, enforceable contracts, and patents</w:t>
      </w:r>
    </w:p>
    <w:p w14:paraId="17BDC366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Statement 9 is broader than consumer fraud; it expects awareness of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 rights, contracts, patents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mitigating market failures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. You already cover fraud/ID theft (12.1–12.2) and “experts/providers” (3.3), but make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contracts/patents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explicit. </w:t>
      </w:r>
      <w:hyperlink r:id="rId10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65FDCF08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Patch:</w:t>
      </w:r>
    </w:p>
    <w:p w14:paraId="54FC61D6" w14:textId="77777777" w:rsidR="001E4AEF" w:rsidRPr="001A2067" w:rsidRDefault="001E4AEF" w:rsidP="001E4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Fold a short “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reading contracts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” sub-lesson into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(credit agreements) and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10.2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(leases). → T3.10. </w:t>
      </w:r>
      <w:hyperlink r:id="rId11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71423936" w14:textId="77777777" w:rsidR="001E4AEF" w:rsidRPr="001A2067" w:rsidRDefault="001E4AEF" w:rsidP="001E4A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one-slide explainer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patents/IP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inside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 Entrepreneurship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. → T3.9 (patent protections). </w:t>
      </w:r>
      <w:hyperlink r:id="rId12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1499D118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32CD5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BF73E96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4) Topic 4 — Government regulation of financial services providers</w:t>
      </w:r>
    </w:p>
    <w:p w14:paraId="0728FB87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Statement 16 wants students to know agencies that regulate providers. Add explicit mentions of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FDIC/NCUA/SEC/CFPB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3.1–3.3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(glossary bullets or icon row). </w:t>
      </w:r>
      <w:hyperlink r:id="rId13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A462742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Patch: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3.x slide “Who regulates what?” → T4.16.</w:t>
      </w:r>
    </w:p>
    <w:p w14:paraId="005CF82E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FD7A4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A9B117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5) Topic 6 — Risk plan must mention diversification</w:t>
      </w:r>
    </w:p>
    <w:p w14:paraId="4DFB718F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Statement 19 explicitly names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diversification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as a risk tool. You already teach this in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7.4 Portfolio Construction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—just cross-reference it in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 Risk Basics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14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24057A0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Patch: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Add “See 7.4: diversification” note in 6.1 → T6.19.</w:t>
      </w:r>
    </w:p>
    <w:p w14:paraId="396E7A21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8494FC2">
          <v:rect id="Horizontal Line 2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501822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6) Topic 7 — Prices as information &amp; market failures/externalities</w:t>
      </w:r>
    </w:p>
    <w:p w14:paraId="41BAA984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Two items here are easy to miss:</w:t>
      </w:r>
    </w:p>
    <w:p w14:paraId="31060CA3" w14:textId="77777777" w:rsidR="001E4AEF" w:rsidRPr="001A2067" w:rsidRDefault="001E4AEF" w:rsidP="001E4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T7.24: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Prices as the information system of markets.</w:t>
      </w:r>
    </w:p>
    <w:p w14:paraId="501FA154" w14:textId="77777777" w:rsidR="001E4AEF" w:rsidRPr="001A2067" w:rsidRDefault="001E4AEF" w:rsidP="001E4A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T7.26: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Market failures/side effects (externalities). </w:t>
      </w:r>
      <w:hyperlink r:id="rId15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687D04BB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Patch:</w:t>
      </w:r>
    </w:p>
    <w:p w14:paraId="1F2B6562" w14:textId="77777777" w:rsidR="001E4AEF" w:rsidRPr="001A2067" w:rsidRDefault="001E4AEF" w:rsidP="001E4A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>Add a 3-minute “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prices signal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” demo to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Investment Fundamentals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(supply/demand shock example). → T7.24. </w:t>
      </w:r>
      <w:hyperlink r:id="rId16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5EDD2635" w14:textId="77777777" w:rsidR="001E4AEF" w:rsidRPr="001A2067" w:rsidRDefault="001E4AEF" w:rsidP="001E4A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Add a brief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externalities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mini-case (e.g., ride-share congestion or pollution) in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 Decision Framework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with a “who bears the cost?” prompt. → T7.26. </w:t>
      </w:r>
      <w:hyperlink r:id="rId17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650FB5A3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0180717">
          <v:rect id="Horizontal Line 24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6B82E1F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Everything else is covered</w:t>
      </w:r>
    </w:p>
    <w:p w14:paraId="02CE1110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1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(responsibility, earnings, income sources,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 pay impacts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) → 1.x + 2.x (taxes). </w:t>
      </w:r>
      <w:hyperlink r:id="rId18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36715653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2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(budget, paying taxes) → 4.x + 2.x. </w:t>
      </w:r>
      <w:hyperlink r:id="rId19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35097AE2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3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(financial institutions, consumer protection,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experts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) → 3.x + 12.x. </w:t>
      </w:r>
      <w:hyperlink r:id="rId20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7BBFA95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4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(ownership, wealth creation, strategies) → 1.4 + 7.x (plus regulation patch above). </w:t>
      </w:r>
      <w:hyperlink r:id="rId21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1188EEBD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5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(credit &amp; debt) → 5.x + 10.4 + 13.1. </w:t>
      </w:r>
      <w:hyperlink r:id="rId22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D3B7C83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6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(identity protection &amp; insurance) → 12.2 + 6.x (plus diversification cross-ref). </w:t>
      </w:r>
      <w:hyperlink r:id="rId23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7E247BBD" w14:textId="77777777" w:rsidR="001E4AEF" w:rsidRPr="001A2067" w:rsidRDefault="001E4AEF" w:rsidP="001E4A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Topic 7</w:t>
      </w:r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(</w:t>
      </w:r>
      <w:proofErr w:type="spellStart"/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entrepreneurship</w:t>
      </w:r>
      <w:proofErr w:type="spellEnd"/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profit) → 1.4 + 7.x (plus </w:t>
      </w:r>
      <w:proofErr w:type="spellStart"/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prices</w:t>
      </w:r>
      <w:proofErr w:type="spellEnd"/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/</w:t>
      </w:r>
      <w:proofErr w:type="spellStart"/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externalities</w:t>
      </w:r>
      <w:proofErr w:type="spellEnd"/>
      <w:r w:rsidRPr="001A206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patch). </w:t>
      </w:r>
      <w:hyperlink r:id="rId24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58ABECCE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6722504">
          <v:rect id="Horizontal Line 25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6A8914C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ICAP/Readiness positioning for Ohio (your Section 8)</w:t>
      </w:r>
    </w:p>
    <w:p w14:paraId="1BDAF11F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Ohio doesn’t have ICAP; instead it has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Advising Policy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(with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Success Plans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) and the </w:t>
      </w:r>
      <w:proofErr w:type="spellStart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OhioMeansJobs</w:t>
      </w:r>
      <w:proofErr w:type="spellEnd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-Readiness Seal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(15 skills). Keep your five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15.x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chapters in a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“Ohio Readiness (OMJ-Readiness Seal &amp; Career Advising)”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section—as we outlined—so it reads like OK/KY value-add without pretending to be an Ohio topic. </w:t>
      </w:r>
      <w:hyperlink r:id="rId25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26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3960E3F1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31020C7">
          <v:rect id="Horizontal Line 26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515586F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</w:t>
      </w:r>
    </w:p>
    <w:p w14:paraId="2EEE89E5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Your mapping is solid. To make it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airtight 1:1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, add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six quick patches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above. They’re tiny (a slide, a callout, or a cross-ref), and they bring you into explicit alignment with the newest Ohio HS standards (July 2025). </w:t>
      </w:r>
      <w:hyperlink r:id="rId27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102CDB6E" w14:textId="77777777" w:rsidR="001E4AEF" w:rsidRPr="001A2067" w:rsidRDefault="001E4AEF" w:rsidP="001E4AE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I can fold these patches into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 HTML one-pager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proofErr w:type="spellStart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Ohio→Oklahoma</w:t>
      </w:r>
      <w:proofErr w:type="spellEnd"/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crosswalk MD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so the deliverables are already “audit-ready.”</w:t>
      </w:r>
    </w:p>
    <w:p w14:paraId="642C1077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Totally. “The Ohio 15” = the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 professional skills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proofErr w:type="spellStart"/>
      <w:r w:rsidRPr="001A2067">
        <w:rPr>
          <w:rFonts w:ascii="Times New Roman" w:eastAsia="Times New Roman" w:hAnsi="Times New Roman" w:cs="Times New Roman"/>
          <w:kern w:val="0"/>
          <w14:ligatures w14:val="none"/>
        </w:rPr>
        <w:t>OhioMeansJobs</w:t>
      </w:r>
      <w:proofErr w:type="spellEnd"/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-Readiness Seal. Here they are (straight from ODEW), followed by how your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ICAP strand (15.1–15.5)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covers each—and where I’d add a tiny booster so you’re airtight.</w:t>
      </w:r>
    </w:p>
    <w:p w14:paraId="09808E22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15 OMJ skills (official)</w:t>
      </w:r>
    </w:p>
    <w:p w14:paraId="23D96D38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Drug Free; Reliability; Work Ethic; Punctuality; Discipline; Teamwork/Collaboration; Professionalism; Learning Agility; Critical Thinking/Problem-Solving; Leadership; Creativity/Innovation; Oral &amp; Written Communications; Digital Technology; Global/Intercultural Fluency; Career Management. Students must document skills and have mentors validate them across at least two environments (school/work/community). </w:t>
      </w:r>
      <w:hyperlink r:id="rId28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29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673FC007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D731E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B6BFB6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your ICAP chapters map (and quick gap-fixers)</w:t>
      </w:r>
    </w:p>
    <w:p w14:paraId="64E5638F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 Free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(Gap)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20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 to 15.3 “Workplace Skills”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: brief workplace-policy/fitness-for-duty mini-lesson + signed pledge scenario. Artifact: pledge + reflection. </w:t>
      </w:r>
      <w:hyperlink r:id="rId30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F2958DD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 Workplace Skills; 15.4 Professional Development (habits, commitments).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on-time streak log; supervisor/coach validation. </w:t>
      </w:r>
      <w:hyperlink r:id="rId31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0042F00E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Ethic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15.3; 15.4 (ownership, follow-through).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mentor rubric from project. </w:t>
      </w:r>
      <w:hyperlink r:id="rId32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22FFED6E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Punctuality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 (time </w:t>
      </w:r>
      <w:proofErr w:type="spellStart"/>
      <w:r w:rsidRPr="001A2067">
        <w:rPr>
          <w:rFonts w:ascii="Times New Roman" w:eastAsia="Times New Roman" w:hAnsi="Times New Roman" w:cs="Times New Roman"/>
          <w:kern w:val="0"/>
          <w14:ligatures w14:val="none"/>
        </w:rPr>
        <w:t>mgmt</w:t>
      </w:r>
      <w:proofErr w:type="spellEnd"/>
      <w:r w:rsidRPr="001A2067">
        <w:rPr>
          <w:rFonts w:ascii="Times New Roman" w:eastAsia="Times New Roman" w:hAnsi="Times New Roman" w:cs="Times New Roman"/>
          <w:kern w:val="0"/>
          <w14:ligatures w14:val="none"/>
        </w:rPr>
        <w:t>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attendance/punctuality report from activity lead. </w:t>
      </w:r>
      <w:hyperlink r:id="rId33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F444C1C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Discipline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 (self-control/focus); 15.4 (goal discipline). </w:t>
      </w:r>
      <w:hyperlink r:id="rId34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0A28AA6A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Teamwork/Collaboration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 (team roles/conflict); 15.4 (peer coaching).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team project with peer/mentor feedback. </w:t>
      </w:r>
      <w:hyperlink r:id="rId35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551E489F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Professionalism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 (conduct, attire, ethics).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mentor evaluation from school/work/community. </w:t>
      </w:r>
      <w:hyperlink r:id="rId36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05D4EABC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Agility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15.4 (PD plan, micro-upskilling).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PD log + reflection on new tool/skill. </w:t>
      </w:r>
      <w:hyperlink r:id="rId37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543DE225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Thinking/Problem-Solving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15.3 (workplace scenarios); also echoed in decision units.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scenario write-up validated by mentor. </w:t>
      </w:r>
      <w:hyperlink r:id="rId38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651999F4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Leadership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15.4 (leadership practice); 15.3 (lead team task).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Artifact: lead a meeting/initiative; mentor sign-off. </w:t>
      </w:r>
      <w:hyperlink r:id="rId39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223410CA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Creativity/Innovation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15.4 (innovation sprint/Kaizen).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20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Nice add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: small “improve a process” challenge. Artifact: before/after brief. </w:t>
      </w:r>
      <w:hyperlink r:id="rId40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4274E57B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Oral &amp; Written Communications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15.2 Job Search (mock interview, networking); 15.5 Resume Building (resume/cover letter); 15.3 workplace comms.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Artifacts: resume, cover letter, interview eval. </w:t>
      </w:r>
      <w:hyperlink r:id="rId41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42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19948032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Technology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(Partial) 15.2 (job platforms/interviews), 15.4 (LMS/PD).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20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: digital professionalism micro-lesson (email, calendar, Docs, privacy). Artifact: sample email + calendar invite. </w:t>
      </w:r>
      <w:hyperlink r:id="rId43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7106AFD7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Global/Intercultural Fluency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(Partial) 15.3 (team norms).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206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Add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: cross-cultural collaboration mini-case/role-play. Artifact: reflection validated by mentor. </w:t>
      </w:r>
      <w:hyperlink r:id="rId44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2894B55B" w14:textId="77777777" w:rsidR="001E4AEF" w:rsidRPr="001A2067" w:rsidRDefault="001E4AEF" w:rsidP="001E4A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Management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→ 15.1 Career Planning &amp; Development (primary); 15.4 (ongoing PD).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Artifacts: career plan, goals, tracker. </w:t>
      </w:r>
      <w:hyperlink r:id="rId45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6BFE2D43" w14:textId="77777777" w:rsidR="001E4AEF" w:rsidRPr="001A2067" w:rsidRDefault="00194FA0" w:rsidP="001E4A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A90D46E">
          <v:rect id="Horizontal Line 36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11B4EF1" w14:textId="77777777" w:rsidR="001E4AEF" w:rsidRPr="001A2067" w:rsidRDefault="001E4AEF" w:rsidP="001E4A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</w:t>
      </w:r>
    </w:p>
    <w:p w14:paraId="5FB020BB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Your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ICAP strand already covers 12–13 of the 15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cleanly. To be bullet-proof for the OMJ Seal, add three micro-pieces:</w:t>
      </w:r>
    </w:p>
    <w:p w14:paraId="02E49415" w14:textId="77777777" w:rsidR="001E4AEF" w:rsidRPr="001A2067" w:rsidRDefault="001E4AEF" w:rsidP="001E4A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Drug-Free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policy/pledge scenario (15.3),</w:t>
      </w:r>
    </w:p>
    <w:p w14:paraId="16119D8F" w14:textId="77777777" w:rsidR="001E4AEF" w:rsidRPr="001A2067" w:rsidRDefault="001E4AEF" w:rsidP="001E4A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professionalism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lesson + artifacts (15.2/15.4),</w:t>
      </w:r>
    </w:p>
    <w:p w14:paraId="3CD625B5" w14:textId="77777777" w:rsidR="001E4AEF" w:rsidRPr="001A2067" w:rsidRDefault="001E4AEF" w:rsidP="001E4A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Intercultural fluency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mini-case (15.3).</w:t>
      </w:r>
    </w:p>
    <w:p w14:paraId="7E71686B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All other skills are satisfied via 15.1–15.5 deliverables (resume, cover letter, mock interview, mentor validations), which map directly to the OMJ process and artifacts. </w:t>
      </w:r>
      <w:hyperlink r:id="rId46" w:tgtFrame="_blank" w:history="1">
        <w:r w:rsidRPr="001A206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Ohio Ed &amp; Workforce</w:t>
        </w:r>
      </w:hyperlink>
    </w:p>
    <w:p w14:paraId="5FBFBEA4" w14:textId="77777777" w:rsidR="001E4AEF" w:rsidRPr="001A2067" w:rsidRDefault="001E4AEF" w:rsidP="001E4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I’ll draft a 1-page </w:t>
      </w:r>
      <w:r w:rsidRPr="001A206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“OMJ Seal Alignment Addendum”</w:t>
      </w:r>
      <w:r w:rsidRPr="001A2067">
        <w:rPr>
          <w:rFonts w:ascii="Times New Roman" w:eastAsia="Times New Roman" w:hAnsi="Times New Roman" w:cs="Times New Roman"/>
          <w:kern w:val="0"/>
          <w14:ligatures w14:val="none"/>
        </w:rPr>
        <w:t xml:space="preserve"> you can staple to proposals: lists the 15 skills, the matching ICAP touchpoint(s), and the exact artifact each district can collect for mentor validation.</w:t>
      </w:r>
    </w:p>
    <w:p w14:paraId="7867773F" w14:textId="77777777" w:rsidR="001E4AEF" w:rsidRPr="001A2067" w:rsidRDefault="001E4AEF">
      <w:pPr>
        <w:rPr>
          <w:rFonts w:ascii="Times New Roman" w:hAnsi="Times New Roman" w:cs="Times New Roman"/>
        </w:rPr>
      </w:pPr>
    </w:p>
    <w:sectPr w:rsidR="001E4AEF" w:rsidRPr="001A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E4D"/>
    <w:multiLevelType w:val="multilevel"/>
    <w:tmpl w:val="5836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356C6"/>
    <w:multiLevelType w:val="multilevel"/>
    <w:tmpl w:val="50AE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9272B"/>
    <w:multiLevelType w:val="multilevel"/>
    <w:tmpl w:val="B846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533BA"/>
    <w:multiLevelType w:val="multilevel"/>
    <w:tmpl w:val="3B5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F3C2E"/>
    <w:multiLevelType w:val="multilevel"/>
    <w:tmpl w:val="D2C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C4E68"/>
    <w:multiLevelType w:val="multilevel"/>
    <w:tmpl w:val="4FF2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A42CC6"/>
    <w:multiLevelType w:val="multilevel"/>
    <w:tmpl w:val="B07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D3935"/>
    <w:multiLevelType w:val="multilevel"/>
    <w:tmpl w:val="DFF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B3321"/>
    <w:multiLevelType w:val="multilevel"/>
    <w:tmpl w:val="481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996"/>
    <w:multiLevelType w:val="multilevel"/>
    <w:tmpl w:val="96B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F5FAD"/>
    <w:multiLevelType w:val="multilevel"/>
    <w:tmpl w:val="5CC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47F02"/>
    <w:multiLevelType w:val="multilevel"/>
    <w:tmpl w:val="9640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F42A8"/>
    <w:multiLevelType w:val="multilevel"/>
    <w:tmpl w:val="CE6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805D0"/>
    <w:multiLevelType w:val="multilevel"/>
    <w:tmpl w:val="5732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62B0"/>
    <w:multiLevelType w:val="multilevel"/>
    <w:tmpl w:val="8F2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456600">
    <w:abstractNumId w:val="7"/>
  </w:num>
  <w:num w:numId="2" w16cid:durableId="962274799">
    <w:abstractNumId w:val="8"/>
  </w:num>
  <w:num w:numId="3" w16cid:durableId="422990713">
    <w:abstractNumId w:val="14"/>
  </w:num>
  <w:num w:numId="4" w16cid:durableId="1754428683">
    <w:abstractNumId w:val="9"/>
  </w:num>
  <w:num w:numId="5" w16cid:durableId="1761178604">
    <w:abstractNumId w:val="2"/>
  </w:num>
  <w:num w:numId="6" w16cid:durableId="586579689">
    <w:abstractNumId w:val="3"/>
  </w:num>
  <w:num w:numId="7" w16cid:durableId="1552036928">
    <w:abstractNumId w:val="4"/>
  </w:num>
  <w:num w:numId="8" w16cid:durableId="1536189768">
    <w:abstractNumId w:val="10"/>
  </w:num>
  <w:num w:numId="9" w16cid:durableId="2052533283">
    <w:abstractNumId w:val="12"/>
  </w:num>
  <w:num w:numId="10" w16cid:durableId="1811359654">
    <w:abstractNumId w:val="0"/>
  </w:num>
  <w:num w:numId="11" w16cid:durableId="747385165">
    <w:abstractNumId w:val="11"/>
  </w:num>
  <w:num w:numId="12" w16cid:durableId="1516573127">
    <w:abstractNumId w:val="1"/>
  </w:num>
  <w:num w:numId="13" w16cid:durableId="1103919470">
    <w:abstractNumId w:val="13"/>
  </w:num>
  <w:num w:numId="14" w16cid:durableId="2113086606">
    <w:abstractNumId w:val="6"/>
  </w:num>
  <w:num w:numId="15" w16cid:durableId="25062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EF"/>
    <w:rsid w:val="00162A88"/>
    <w:rsid w:val="00194FA0"/>
    <w:rsid w:val="001A2067"/>
    <w:rsid w:val="001E4AEF"/>
    <w:rsid w:val="00A8749F"/>
    <w:rsid w:val="00B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DDE8DD7"/>
  <w15:chartTrackingRefBased/>
  <w15:docId w15:val="{7F15609E-9560-1347-BA56-031CF6D7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E4A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4A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4A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AEF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1E4AEF"/>
  </w:style>
  <w:style w:type="character" w:customStyle="1" w:styleId="max-w-full">
    <w:name w:val="max-w-full"/>
    <w:basedOn w:val="DefaultParagraphFont"/>
    <w:rsid w:val="001E4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18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6" Type="http://schemas.openxmlformats.org/officeDocument/2006/relationships/hyperlink" Target="https://education.ohio.gov/Topics/Ohio-s-Graduation-Requirements/Ohio%E2%80%99s-Graduation-Requirements/Graduation-Seals/OhioMeansJobs-Readiness-Seal?utm_source=chatgpt.com" TargetMode="External"/><Relationship Id="rId39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21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34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2" Type="http://schemas.openxmlformats.org/officeDocument/2006/relationships/hyperlink" Target="https://education.ohio.gov/getattachment/Topics/Ohio-s-Graduation-Requirements/Ohio%E2%80%99s-Graduation-Requirements/Graduation-Seals/OhioMeansJobs-Readiness-Seal/OMJ-Readiness-Seal-Validation-Form.pdf.aspx?lang=en-US&amp;utm_source=chatgpt.co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ducation.ohio.gov/Topics/Career-Tech/Career-Connections/Career-Advising-Policy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9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cation.ohio.gov/getattachment/Topics/Learning-in-Ohio/Financial-Literacy/Financial-Literacy-in-High-School/Fin-Lit-in-HS-Model-Curriculum.pdf.aspx?lang=en-US&amp;utm_source=chatgpt.com" TargetMode="External"/><Relationship Id="rId11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4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32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37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0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5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5" Type="http://schemas.openxmlformats.org/officeDocument/2006/relationships/hyperlink" Target="https://education.ohio.gov/getattachment/Topics/Learning-in-Ohio/Financial-Literacy/Financial-Literacy-in-High-School/Fin-Lit-in-HS-Standards.pdf.aspx?lang=en-US&amp;utm_source=chatgpt.com" TargetMode="External"/><Relationship Id="rId15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3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8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36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10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19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31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4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14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2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7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30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35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3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17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25" Type="http://schemas.openxmlformats.org/officeDocument/2006/relationships/hyperlink" Target="https://education.ohio.gov/Topics/Career-Tech/Career-Connections/Career-Advising-Policy/Overview-and-the-Foundations-of-Career-Advising/Career-Advising-in-Student-Success-and-Graduation?utm_source=chatgpt.com" TargetMode="External"/><Relationship Id="rId33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38" Type="http://schemas.openxmlformats.org/officeDocument/2006/relationships/hyperlink" Target="https://education.ohio.gov/Topics/Ohio-s-Graduation-Requirements/Ohio%E2%80%99s-Graduation-Requirements/Graduation-Seals/OhioMeansJobs-Readiness-Seal" TargetMode="External"/><Relationship Id="rId46" Type="http://schemas.openxmlformats.org/officeDocument/2006/relationships/hyperlink" Target="https://education.ohio.gov/getattachment/Topics/Ohio-s-Graduation-Requirements/Ohio%E2%80%99s-Graduation-Requirements/Graduation-Seals/OhioMeansJobs-Readiness-Seal/OMJ-Readiness-Seal-Validation-Form.pdf.aspx?lang=en-US&amp;utm_source=chatgpt.com" TargetMode="External"/><Relationship Id="rId20" Type="http://schemas.openxmlformats.org/officeDocument/2006/relationships/hyperlink" Target="https://education.ohio.gov/getattachment/Topics/Learning-in-Ohio/Financial-Literacy/Financial-Literacy-Standards/Fin-Lit-in-HS-Standards.pdf.aspx?lang=en-US" TargetMode="External"/><Relationship Id="rId41" Type="http://schemas.openxmlformats.org/officeDocument/2006/relationships/hyperlink" Target="https://education.ohio.gov/Topics/Ohio-s-Graduation-Requirements/Ohio%E2%80%99s-Graduation-Requirements/Graduation-Seals/OhioMeansJobs-Readiness-Se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2025-08-31T06:41:00Z</dcterms:created>
  <dcterms:modified xsi:type="dcterms:W3CDTF">2025-08-31T08:37:00Z</dcterms:modified>
</cp:coreProperties>
</file>