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  <w:spacing w:before="0" w:after="100" w:line="240" w:lineRule="auto"/>
      </w:pPr>
      <w:r>
        <w:rPr>
          <w:rFonts w:ascii="Malgun Gothic" w:hAnsi="Malgun Gothic" w:eastAsia="Malgun Gothic"/>
          <w:b/>
          <w:color w:val="000000"/>
          <w:sz w:val="34"/>
          <w:szCs w:val="34"/>
        </w:rPr>
        <w:t xml:space="preserve">이상 탐지 모델 비교 결과</w:t>
      </w:r>
    </w:p>
    <w:p>
      <w:pPr>
        <w:spacing w:before="0" w:after="70" w:line="240" w:lineRule="auto"/>
      </w:pPr>
      <w:r>
        <w:rPr>
          <w:rFonts w:ascii="Malgun Gothic" w:hAnsi="Malgun Gothic" w:eastAsia="Malgun Gothic"/>
          <w:color w:val="000000"/>
          <w:sz w:val="20"/>
          <w:szCs w:val="20"/>
        </w:rPr>
        <w:t xml:space="preserve">Isolation Forest는 경고 신뢰도가 가장 높고 3-Sigma는 탐지율과 경고 부담의 균형이 좋다. IQR은 고장 누락이 가장 적지만 오경보가 가장 많다.</w:t>
      </w:r>
    </w:p>
    <w:p>
      <w:pPr>
        <w:spacing w:before="0" w:after="90" w:line="240" w:lineRule="auto"/>
      </w:pPr>
      <w:r>
        <w:rPr>
          <w:rFonts w:ascii="Malgun Gothic" w:hAnsi="Malgun Gothic" w:eastAsia="Malgun Gothic"/>
          <w:color w:val="555555"/>
          <w:sz w:val="17"/>
          <w:szCs w:val="17"/>
        </w:rPr>
        <w:t xml:space="preserve">대상  테스트 173,800건  실제 고장 140건  평가 구간  고장 전 24시간 48시간 72시간</w:t>
      </w:r>
    </w:p>
    <w:p>
      <w:pPr>
        <w:pStyle w:val="Heading1"/>
        <w:keepNext/>
        <w:spacing w:before="40" w:after="55" w:line="240" w:lineRule="auto"/>
      </w:pPr>
      <w:r>
        <w:rPr>
          <w:rFonts w:ascii="Malgun Gothic" w:hAnsi="Malgun Gothic" w:eastAsia="Malgun Gothic"/>
          <w:b/>
          <w:color w:val="000000"/>
          <w:sz w:val="23"/>
          <w:szCs w:val="23"/>
        </w:rPr>
        <w:t xml:space="preserve">핵심 결과</w:t>
      </w:r>
    </w:p>
    <w:tbl>
      <w:tblPr>
        <w:tblW w:w="8000" w:type="dxa"/>
        <w:tblLayout w:type="fixed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50"/>
        <w:gridCol w:w="700"/>
        <w:gridCol w:w="1050"/>
        <w:gridCol w:w="1050"/>
        <w:gridCol w:w="1150"/>
        <w:gridCol w:w="1150"/>
        <w:gridCol w:w="850"/>
      </w:tblGrid>
      <w:tr>
        <w:trPr>
          <w:tblHeader/>
        </w:trPr>
        <w:tc>
          <w:tcPr>
            <w:tcW w:w="2050" w:type="dxa"/>
            <w:vAlign w:val="center"/>
            <w:shd w:val="clear" w:color="auto" w:fill="1F4E7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  <w:szCs w:val="16"/>
              </w:rPr>
              <w:t xml:space="preserve">모델</w:t>
            </w:r>
          </w:p>
        </w:tc>
        <w:tc>
          <w:tcPr>
            <w:tcW w:w="700" w:type="dxa"/>
            <w:vAlign w:val="center"/>
            <w:shd w:val="clear" w:color="auto" w:fill="1F4E7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  <w:szCs w:val="16"/>
              </w:rPr>
              <w:t xml:space="preserve">구간</w:t>
            </w:r>
          </w:p>
        </w:tc>
        <w:tc>
          <w:tcPr>
            <w:tcW w:w="1050" w:type="dxa"/>
            <w:vAlign w:val="center"/>
            <w:shd w:val="clear" w:color="auto" w:fill="1F4E7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  <w:szCs w:val="16"/>
              </w:rPr>
              <w:t xml:space="preserve">탐지율</w:t>
            </w:r>
          </w:p>
        </w:tc>
        <w:tc>
          <w:tcPr>
            <w:tcW w:w="1050" w:type="dxa"/>
            <w:vAlign w:val="center"/>
            <w:shd w:val="clear" w:color="auto" w:fill="1F4E7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  <w:szCs w:val="16"/>
              </w:rPr>
              <w:t xml:space="preserve">적중률</w:t>
            </w:r>
          </w:p>
        </w:tc>
        <w:tc>
          <w:tcPr>
            <w:tcW w:w="1150" w:type="dxa"/>
            <w:vAlign w:val="center"/>
            <w:shd w:val="clear" w:color="auto" w:fill="1F4E7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  <w:szCs w:val="16"/>
              </w:rPr>
              <w:t xml:space="preserve">오경보율</w:t>
            </w:r>
          </w:p>
        </w:tc>
        <w:tc>
          <w:tcPr>
            <w:tcW w:w="1150" w:type="dxa"/>
            <w:vAlign w:val="center"/>
            <w:shd w:val="clear" w:color="auto" w:fill="1F4E7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  <w:szCs w:val="16"/>
              </w:rPr>
              <w:t xml:space="preserve">선행시간</w:t>
            </w:r>
          </w:p>
        </w:tc>
        <w:tc>
          <w:tcPr>
            <w:tcW w:w="850" w:type="dxa"/>
            <w:vAlign w:val="center"/>
            <w:shd w:val="clear" w:color="auto" w:fill="1F4E7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  <w:szCs w:val="16"/>
              </w:rPr>
              <w:t xml:space="preserve">Lift</w:t>
            </w:r>
          </w:p>
        </w:tc>
      </w:tr>
      <w:tr>
        <w:tc>
          <w:tcPr>
            <w:tcW w:w="20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Isolation Forest</w:t>
            </w:r>
          </w:p>
        </w:tc>
        <w:tc>
          <w:tcPr>
            <w:tcW w:w="70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24h</w:t>
            </w:r>
          </w:p>
        </w:tc>
        <w:tc>
          <w:tcPr>
            <w:tcW w:w="10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81.0%</w:t>
            </w:r>
          </w:p>
        </w:tc>
        <w:tc>
          <w:tcPr>
            <w:tcW w:w="10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11.9%</w:t>
            </w:r>
          </w:p>
        </w:tc>
        <w:tc>
          <w:tcPr>
            <w:tcW w:w="11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88.1%</w:t>
            </w:r>
          </w:p>
        </w:tc>
        <w:tc>
          <w:tcPr>
            <w:tcW w:w="11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19.6h</w:t>
            </w:r>
          </w:p>
        </w:tc>
        <w:tc>
          <w:tcPr>
            <w:tcW w:w="8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8.45</w:t>
            </w:r>
          </w:p>
        </w:tc>
      </w:tr>
      <w:tr>
        <w:tc>
          <w:tcPr>
            <w:tcW w:w="20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3-Sigma</w:t>
            </w:r>
          </w:p>
        </w:tc>
        <w:tc>
          <w:tcPr>
            <w:tcW w:w="70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24h</w:t>
            </w:r>
          </w:p>
        </w:tc>
        <w:tc>
          <w:tcPr>
            <w:tcW w:w="10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84.7%</w:t>
            </w:r>
          </w:p>
        </w:tc>
        <w:tc>
          <w:tcPr>
            <w:tcW w:w="10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9.5%</w:t>
            </w:r>
          </w:p>
        </w:tc>
        <w:tc>
          <w:tcPr>
            <w:tcW w:w="11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90.5%</w:t>
            </w:r>
          </w:p>
        </w:tc>
        <w:tc>
          <w:tcPr>
            <w:tcW w:w="11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17.5h</w:t>
            </w:r>
          </w:p>
        </w:tc>
        <w:tc>
          <w:tcPr>
            <w:tcW w:w="8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5.50</w:t>
            </w:r>
          </w:p>
        </w:tc>
      </w:tr>
      <w:tr>
        <w:tc>
          <w:tcPr>
            <w:tcW w:w="20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IQR</w:t>
            </w:r>
          </w:p>
        </w:tc>
        <w:tc>
          <w:tcPr>
            <w:tcW w:w="70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24h</w:t>
            </w:r>
          </w:p>
        </w:tc>
        <w:tc>
          <w:tcPr>
            <w:tcW w:w="10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94.9%</w:t>
            </w:r>
          </w:p>
        </w:tc>
        <w:tc>
          <w:tcPr>
            <w:tcW w:w="10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7.3%</w:t>
            </w:r>
          </w:p>
        </w:tc>
        <w:tc>
          <w:tcPr>
            <w:tcW w:w="11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92.7%</w:t>
            </w:r>
          </w:p>
        </w:tc>
        <w:tc>
          <w:tcPr>
            <w:tcW w:w="11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20.2h</w:t>
            </w:r>
          </w:p>
        </w:tc>
        <w:tc>
          <w:tcPr>
            <w:tcW w:w="8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4.44</w:t>
            </w:r>
          </w:p>
        </w:tc>
      </w:tr>
      <w:tr>
        <w:tc>
          <w:tcPr>
            <w:tcW w:w="20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Isolation Forest</w:t>
            </w:r>
          </w:p>
        </w:tc>
        <w:tc>
          <w:tcPr>
            <w:tcW w:w="70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48h</w:t>
            </w:r>
          </w:p>
        </w:tc>
        <w:tc>
          <w:tcPr>
            <w:tcW w:w="10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83.9%</w:t>
            </w:r>
          </w:p>
        </w:tc>
        <w:tc>
          <w:tcPr>
            <w:tcW w:w="10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18.5%</w:t>
            </w:r>
          </w:p>
        </w:tc>
        <w:tc>
          <w:tcPr>
            <w:tcW w:w="11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81.5%</w:t>
            </w:r>
          </w:p>
        </w:tc>
        <w:tc>
          <w:tcPr>
            <w:tcW w:w="11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32.6h</w:t>
            </w:r>
          </w:p>
        </w:tc>
        <w:tc>
          <w:tcPr>
            <w:tcW w:w="8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6.67</w:t>
            </w:r>
          </w:p>
        </w:tc>
      </w:tr>
      <w:tr>
        <w:tc>
          <w:tcPr>
            <w:tcW w:w="20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3-Sigma</w:t>
            </w:r>
          </w:p>
        </w:tc>
        <w:tc>
          <w:tcPr>
            <w:tcW w:w="70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48h</w:t>
            </w:r>
          </w:p>
        </w:tc>
        <w:tc>
          <w:tcPr>
            <w:tcW w:w="10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93.4%</w:t>
            </w:r>
          </w:p>
        </w:tc>
        <w:tc>
          <w:tcPr>
            <w:tcW w:w="10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18.4%</w:t>
            </w:r>
          </w:p>
        </w:tc>
        <w:tc>
          <w:tcPr>
            <w:tcW w:w="11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81.6%</w:t>
            </w:r>
          </w:p>
        </w:tc>
        <w:tc>
          <w:tcPr>
            <w:tcW w:w="11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40.1h</w:t>
            </w:r>
          </w:p>
        </w:tc>
        <w:tc>
          <w:tcPr>
            <w:tcW w:w="8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5.62</w:t>
            </w:r>
          </w:p>
        </w:tc>
      </w:tr>
      <w:tr>
        <w:tc>
          <w:tcPr>
            <w:tcW w:w="20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IQR</w:t>
            </w:r>
          </w:p>
        </w:tc>
        <w:tc>
          <w:tcPr>
            <w:tcW w:w="70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48h</w:t>
            </w:r>
          </w:p>
        </w:tc>
        <w:tc>
          <w:tcPr>
            <w:tcW w:w="10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97.8%</w:t>
            </w:r>
          </w:p>
        </w:tc>
        <w:tc>
          <w:tcPr>
            <w:tcW w:w="10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14.1%</w:t>
            </w:r>
          </w:p>
        </w:tc>
        <w:tc>
          <w:tcPr>
            <w:tcW w:w="11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85.9%</w:t>
            </w:r>
          </w:p>
        </w:tc>
        <w:tc>
          <w:tcPr>
            <w:tcW w:w="11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44.1h</w:t>
            </w:r>
          </w:p>
        </w:tc>
        <w:tc>
          <w:tcPr>
            <w:tcW w:w="8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4.53</w:t>
            </w:r>
          </w:p>
        </w:tc>
      </w:tr>
      <w:tr>
        <w:tc>
          <w:tcPr>
            <w:tcW w:w="20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Isolation Forest</w:t>
            </w:r>
          </w:p>
        </w:tc>
        <w:tc>
          <w:tcPr>
            <w:tcW w:w="70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72h</w:t>
            </w:r>
          </w:p>
        </w:tc>
        <w:tc>
          <w:tcPr>
            <w:tcW w:w="10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83.8%</w:t>
            </w:r>
          </w:p>
        </w:tc>
        <w:tc>
          <w:tcPr>
            <w:tcW w:w="10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20.3%</w:t>
            </w:r>
          </w:p>
        </w:tc>
        <w:tc>
          <w:tcPr>
            <w:tcW w:w="11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79.7%</w:t>
            </w:r>
          </w:p>
        </w:tc>
        <w:tc>
          <w:tcPr>
            <w:tcW w:w="11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35.0h</w:t>
            </w:r>
          </w:p>
        </w:tc>
        <w:tc>
          <w:tcPr>
            <w:tcW w:w="8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4.71</w:t>
            </w:r>
          </w:p>
        </w:tc>
      </w:tr>
      <w:tr>
        <w:tc>
          <w:tcPr>
            <w:tcW w:w="20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3-Sigma</w:t>
            </w:r>
          </w:p>
        </w:tc>
        <w:tc>
          <w:tcPr>
            <w:tcW w:w="70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72h</w:t>
            </w:r>
          </w:p>
        </w:tc>
        <w:tc>
          <w:tcPr>
            <w:tcW w:w="10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94.1%</w:t>
            </w:r>
          </w:p>
        </w:tc>
        <w:tc>
          <w:tcPr>
            <w:tcW w:w="10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19.8%</w:t>
            </w:r>
          </w:p>
        </w:tc>
        <w:tc>
          <w:tcPr>
            <w:tcW w:w="11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80.2%</w:t>
            </w:r>
          </w:p>
        </w:tc>
        <w:tc>
          <w:tcPr>
            <w:tcW w:w="11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43.9h</w:t>
            </w:r>
          </w:p>
        </w:tc>
        <w:tc>
          <w:tcPr>
            <w:tcW w:w="850" w:type="dxa"/>
            <w:vAlign w:val="center"/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3.93</w:t>
            </w:r>
          </w:p>
        </w:tc>
      </w:tr>
      <w:tr>
        <w:tc>
          <w:tcPr>
            <w:tcW w:w="20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IQR</w:t>
            </w:r>
          </w:p>
        </w:tc>
        <w:tc>
          <w:tcPr>
            <w:tcW w:w="70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72h</w:t>
            </w:r>
          </w:p>
        </w:tc>
        <w:tc>
          <w:tcPr>
            <w:tcW w:w="10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98.5%</w:t>
            </w:r>
          </w:p>
        </w:tc>
        <w:tc>
          <w:tcPr>
            <w:tcW w:w="10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15.7%</w:t>
            </w:r>
          </w:p>
        </w:tc>
        <w:tc>
          <w:tcPr>
            <w:tcW w:w="11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84.3%</w:t>
            </w:r>
          </w:p>
        </w:tc>
        <w:tc>
          <w:tcPr>
            <w:tcW w:w="11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52.8h</w:t>
            </w:r>
          </w:p>
        </w:tc>
        <w:tc>
          <w:tcPr>
            <w:tcW w:w="850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jc w:val="center"/>
              <w:spacing w:before="0" w:after="0" w:line="205" w:lineRule="auto"/>
            </w:pPr>
            <w:r>
              <w:rPr>
                <w:rFonts w:ascii="Malgun Gothic" w:hAnsi="Malgun Gothic" w:eastAsia="Malgun Gothic"/>
                <w:color w:val="000000"/>
                <w:sz w:val="16"/>
                <w:szCs w:val="16"/>
              </w:rPr>
              <w:t xml:space="preserve">3.28</w:t>
            </w:r>
          </w:p>
        </w:tc>
      </w:tr>
    </w:tbl>
    <w:p>
      <w:pPr>
        <w:pStyle w:val="Heading1"/>
        <w:keepNext/>
        <w:spacing w:before="90" w:after="20" w:line="240" w:lineRule="auto"/>
      </w:pPr>
      <w:r>
        <w:rPr>
          <w:rFonts w:ascii="Malgun Gothic" w:hAnsi="Malgun Gothic" w:eastAsia="Malgun Gothic"/>
          <w:b/>
          <w:color w:val="000000"/>
          <w:sz w:val="23"/>
          <w:szCs w:val="23"/>
        </w:rPr>
        <w:t xml:space="preserve">비교 시각화</w:t>
      </w:r>
    </w:p>
    <w:p>
      <w:pPr>
        <w:jc w:val="center"/>
        <w:spacing w:before="80" w:after="70"/>
      </w:pPr>
      <w:r>
        <w:drawing>
          <wp:inline distT="0" distB="0" distL="0" distR="0">
            <wp:extent cx="5943600" cy="3496235"/>
            <wp:effectExtent l="0" t="0" r="0" b="0"/>
            <wp:docPr id="1" name="모델 비교 그래프" descr="Isolation Forest 3 Sigma IQR 고장 예측 성능 비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failure_comparison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0" w:after="35" w:line="240" w:lineRule="auto"/>
      </w:pPr>
      <w:r>
        <w:rPr>
          <w:rFonts w:ascii="Malgun Gothic" w:hAnsi="Malgun Gothic" w:eastAsia="Malgun Gothic"/>
          <w:b/>
          <w:color w:val="000000"/>
          <w:sz w:val="23"/>
          <w:szCs w:val="23"/>
        </w:rPr>
        <w:t xml:space="preserve">운영 판단</w:t>
      </w:r>
    </w:p>
    <w:p>
      <w:pPr>
        <w:spacing w:before="0" w:after="20" w:line="240" w:lineRule="auto"/>
      </w:pPr>
      <w:r>
        <w:rPr>
          <w:rFonts w:ascii="Malgun Gothic" w:hAnsi="Malgun Gothic" w:eastAsia="Malgun Gothic"/>
          <w:color w:val="000000"/>
          <w:sz w:val="18"/>
          <w:szCs w:val="18"/>
        </w:rPr>
        <w:t xml:space="preserve">• 경고 신뢰도와 적은 이벤트 수가 중요하면 Isolation Forest가 적합하다.</w:t>
      </w:r>
    </w:p>
    <w:p>
      <w:pPr>
        <w:spacing w:before="0" w:after="20" w:line="240" w:lineRule="auto"/>
      </w:pPr>
      <w:r>
        <w:rPr>
          <w:rFonts w:ascii="Malgun Gothic" w:hAnsi="Malgun Gothic" w:eastAsia="Malgun Gothic"/>
          <w:color w:val="000000"/>
          <w:sz w:val="18"/>
          <w:szCs w:val="18"/>
        </w:rPr>
        <w:t xml:space="preserve">• 탐지율과 경고 부담의 균형이 필요하면 3-Sigma가 적합하다.</w:t>
      </w:r>
    </w:p>
    <w:p>
      <w:pPr>
        <w:spacing w:before="0" w:after="35" w:line="240" w:lineRule="auto"/>
      </w:pPr>
      <w:r>
        <w:rPr>
          <w:rFonts w:ascii="Malgun Gothic" w:hAnsi="Malgun Gothic" w:eastAsia="Malgun Gothic"/>
          <w:color w:val="000000"/>
          <w:sz w:val="18"/>
          <w:szCs w:val="18"/>
        </w:rPr>
        <w:t xml:space="preserve">• 고장 누락 최소화가 최우선이면 IQR이 적합하다.</w:t>
      </w:r>
    </w:p>
    <w:p>
      <w:pPr>
        <w:spacing w:before="0" w:after="0" w:line="220" w:lineRule="auto"/>
      </w:pPr>
      <w:r>
        <w:rPr>
          <w:rFonts w:ascii="Malgun Gothic" w:hAnsi="Malgun Gothic" w:eastAsia="Malgun Gothic"/>
          <w:color w:val="555555"/>
          <w:sz w:val="16"/>
          <w:szCs w:val="16"/>
        </w:rPr>
        <w:t xml:space="preserve">오경보율이 모든 방식에서 80% 이상이므로 실제 적용 전 경고 병합 간격과 임계값 조정이 필요하다. 고장 기록은 센서 이상 정답이 아니라 이후 운영 결과이므로 본 결과는 고장 사전 경고의 유용성을 평가한다.</w:t>
      </w:r>
    </w:p>
    <w:sectPr>
      <w:pgSz w:w="12240" w:h="15840"/>
      <w:pgMar w:top="576" w:right="648" w:bottom="576" w:left="648" w:header="360" w:footer="36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0"/>
        <w:szCs w:val="20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</w:pPr>
    <w:rPr>
      <w:rFonts w:ascii="Malgun Gothic" w:hAnsi="Malgun Gothic" w:eastAsia="Malgun Gothic"/>
      <w:b/>
      <w:color w:val="000000"/>
      <w:sz w:val="3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Malgun Gothic" w:hAnsi="Malgun Gothic" w:eastAsia="Malgun Gothic"/>
      <w:b/>
      <w:color w:val="000000"/>
      <w:sz w:val="23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이상 탐지 모델 비교 결과</dc:title>
  <dc:creator>Codex</dc:creator>
  <dcterms:created xsi:type="dcterms:W3CDTF">2026-09-22T14:28:39.619612+00:00</dcterms:created>
</cp:coreProperties>
</file>