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Lines/>
        <w:spacing w:after="200"/>
      </w:pPr>
      <w:r>
        <w:rPr>
          <w:b/>
          <w:sz w:val="18"/>
        </w:rPr>
        <w:t>PROJECT PORTFOLIO   01</w:t>
      </w:r>
    </w:p>
    <w:p>
      <w:pPr>
        <w:pStyle w:val="Title"/>
      </w:pPr>
      <w:r>
        <w:t>설비 고장 예측 기반</w:t>
        <w:br/>
        <w:t>정비 의사결정 지원 시스템</w:t>
      </w:r>
    </w:p>
    <w:p>
      <w:pPr>
        <w:keepLines/>
        <w:spacing w:after="240"/>
      </w:pPr>
      <w:r>
        <w:rPr>
          <w:b/>
          <w:sz w:val="24"/>
        </w:rPr>
        <w:t>김경제  ·  데이터 구축 및 EDA  ·  기여도 33.3%</w:t>
      </w:r>
    </w:p>
    <w:p>
      <w:pPr>
        <w:keepLines/>
        <w:spacing w:after="240"/>
      </w:pPr>
      <w:r>
        <w:rPr>
          <w:b w:val="0"/>
          <w:sz w:val="22"/>
        </w:rPr>
        <w:t>고장 위험과 재고·조달·정비·비용 정보를 연결해, 설비보전 담당자가 점검과 발주 시점을 판단하도록 돕는 제조 데이터 기반 AI 프로젝트입니다. 저는 데이터 구축과 탐색적 분석을 맡아 모델과 서비스가 사용할 데이터의 의미와 구조를 정리했습니다.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937"/>
      </w:tblGrid>
      <w:tr>
        <w:trPr>
          <w:cantSplit/>
          <w:tblHeader/>
        </w:trPr>
        <w:tc>
          <w:tcPr>
            <w:tcW w:type="dxa" w:w="1814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937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프로젝트 정보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팀</w:t>
            </w:r>
          </w:p>
        </w:tc>
        <w:tc>
          <w:tcPr>
            <w:tcW w:type="dxa" w:w="7937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지현이와 중년들  ·  3인 프로젝트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기간</w:t>
            </w:r>
          </w:p>
        </w:tc>
        <w:tc>
          <w:tcPr>
            <w:tcW w:type="dxa" w:w="793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2026.09.21 ~ 2026.09.30  ·  발표자료 기준 6영업일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프로젝트 유형</w:t>
            </w:r>
          </w:p>
        </w:tc>
        <w:tc>
          <w:tcPr>
            <w:tcW w:type="dxa" w:w="7937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제조 데이터 분석 및 예지보전 AI 대시보드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주요 산출물</w:t>
            </w:r>
          </w:p>
        </w:tc>
        <w:tc>
          <w:tcPr>
            <w:tcW w:type="dxa" w:w="793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데이터 및 EDA, 고장·이상탐지 모델, 정비 계획 로직, F01~F10 대시보드</w:t>
            </w:r>
          </w:p>
        </w:tc>
      </w:tr>
    </w:tbl>
    <w:p>
      <w:pPr>
        <w:keepLines/>
        <w:spacing w:after="40"/>
      </w:pPr>
      <w:r>
        <w:rPr>
          <w:b w:val="0"/>
          <w:sz w:val="4"/>
        </w:rPr>
      </w:r>
    </w:p>
    <w:p>
      <w:pPr>
        <w:pStyle w:val="Heading2"/>
      </w:pPr>
      <w:r>
        <w:t>핵심 기술 스택과 AI 툴체인</w:t>
      </w:r>
    </w:p>
    <w:p>
      <w:pPr>
        <w:keepNext/>
        <w:spacing w:after="80" w:line="240" w:lineRule="auto"/>
        <w:jc w:val="center"/>
      </w:pPr>
      <w:r>
        <w:drawing>
          <wp:inline>
            <wp:extent cx="5868000" cy="3302505"/>
            <wp:docPr id="1" name="Picture 1" descr="Python Dash pandas Plotly PyTorch LightGBM scikit-learn Qwen3 Hugging Face MySQL SQLAlchemy 기술 스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 w:line="240" w:lineRule="exact"/>
      </w:pPr>
      <w:r>
        <w:rPr>
          <w:b w:val="0"/>
          <w:sz w:val="17"/>
        </w:rPr>
        <w:t>발표자료 3쪽의 기술 스택. 개발 보조에는 Claude Code와 대화형 LLM을 활용했습니다. 실행 시 AI 요약은 로컬 Qwen3-1.7B를 사용합니다.</w:t>
      </w:r>
    </w:p>
    <w:p>
      <w:pPr>
        <w:keepLines/>
      </w:pPr>
      <w:r>
        <w:rPr>
          <w:b w:val="0"/>
          <w:sz w:val="19"/>
        </w:rPr>
        <w:t>개인 담당은 데이터 구축 및 EDA입니다. 이하의 모델 성능, 화면 구현, 통합 결과는 팀 공동 산출물로 구분해 기술했습니다.</w:t>
      </w:r>
    </w:p>
    <w:p>
      <w:pPr>
        <w:keepNext/>
        <w:keepLines/>
        <w:pageBreakBefore/>
        <w:spacing w:after="160"/>
      </w:pPr>
      <w:r>
        <w:rPr>
          <w:b/>
          <w:sz w:val="18"/>
        </w:rPr>
        <w:t>PROJECT PORTFOLIO   02</w:t>
      </w:r>
    </w:p>
    <w:p>
      <w:pPr>
        <w:pStyle w:val="Heading1"/>
      </w:pPr>
      <w:r>
        <w:t>02 문제 정의와 기획 의도</w:t>
      </w:r>
    </w:p>
    <w:p>
      <w:pPr>
        <w:keepLines/>
        <w:spacing w:after="240"/>
      </w:pPr>
      <w:r>
        <w:rPr>
          <w:b w:val="0"/>
          <w:sz w:val="22"/>
        </w:rPr>
        <w:t>고장 위험을 확인한 뒤 실제 대응에 필요한 재고와 시간을 함께 판단하도록 설계했습니다.</w:t>
      </w:r>
    </w:p>
    <w:p>
      <w:pPr>
        <w:pStyle w:val="Heading2"/>
      </w:pPr>
      <w:r>
        <w:t>현업 문제와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85"/>
        <w:gridCol w:w="6066"/>
      </w:tblGrid>
      <w:tr>
        <w:trPr>
          <w:cantSplit/>
          <w:tblHeader/>
        </w:trPr>
        <w:tc>
          <w:tcPr>
            <w:tcW w:type="dxa" w:w="3685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기존 판단의 한계</w:t>
            </w:r>
          </w:p>
        </w:tc>
        <w:tc>
          <w:tcPr>
            <w:tcW w:type="dxa" w:w="6066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프로젝트의 대응 방식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고장 위험만으로 부품 준비 가능 여부를 판단하기 어려움</w:t>
            </w:r>
          </w:p>
        </w:tc>
        <w:tc>
          <w:tcPr>
            <w:tcW w:type="dxa" w:w="606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현재 재고, 입고 예정, 조달기간과 준비기간을 함께 계산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발주 시점을 담당자 경험에 의존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정비 목표일과 발주 마감일을 계산하고 우선 대응 설비 제시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조기 발주와 지연 발주의 비용 비교가 어려움</w:t>
            </w:r>
          </w:p>
        </w:tc>
        <w:tc>
          <w:tcPr>
            <w:tcW w:type="dxa" w:w="606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보유비, 긴급 대응비, 정지 손실을 반영한 비용 시뮬레이션</w:t>
            </w:r>
          </w:p>
        </w:tc>
      </w:tr>
    </w:tbl>
    <w:p>
      <w:pPr>
        <w:keepLines/>
        <w:spacing w:after="40"/>
      </w:pPr>
      <w:r>
        <w:rPr>
          <w:b w:val="0"/>
          <w:sz w:val="4"/>
        </w:rPr>
      </w:r>
    </w:p>
    <w:p>
      <w:pPr>
        <w:keepLines/>
        <w:spacing w:after="200" w:line="240" w:lineRule="exact"/>
      </w:pPr>
      <w:r>
        <w:rPr>
          <w:b w:val="0"/>
          <w:sz w:val="17"/>
        </w:rPr>
        <w:t>근거: 발표자료 4쪽. 실제 업무시간 및 비용 절감률은 현장 적용 후 검증할 지표입니다.</w:t>
      </w:r>
    </w:p>
    <w:p>
      <w:pPr>
        <w:pStyle w:val="Heading2"/>
      </w:pPr>
      <w:r>
        <w:t>외부 데이터와 내부 운영 데이터</w:t>
      </w:r>
    </w:p>
    <w:p>
      <w:pPr>
        <w:keepLines/>
      </w:pPr>
      <w:r>
        <w:rPr>
          <w:b w:val="0"/>
        </w:rPr>
        <w:t>Microsoft Azure Predictive Maintenance 공개 시뮬레이션 데이터를 분석 기반으로 사용했습니다. 센서 관측기간은 2015.01.01 06시부터 2016.01.01 06시까지이며, 설비 100대와 센서 4종을 포함합니다.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701"/>
        <w:gridCol w:w="6066"/>
      </w:tblGrid>
      <w:tr>
        <w:trPr>
          <w:cantSplit/>
          <w:tblHeader/>
        </w:trPr>
        <w:tc>
          <w:tcPr>
            <w:tcW w:type="dxa" w:w="1984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1701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규모</w:t>
            </w:r>
          </w:p>
        </w:tc>
        <w:tc>
          <w:tcPr>
            <w:tcW w:type="dxa" w:w="6066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활용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설비 정보</w:t>
            </w:r>
          </w:p>
        </w:tc>
        <w:tc>
          <w:tcPr>
            <w:tcW w:type="dxa" w:w="170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100행</w:t>
            </w:r>
          </w:p>
        </w:tc>
        <w:tc>
          <w:tcPr>
            <w:tcW w:type="dxa" w:w="606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설비 모델명과 연식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센서 관측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876,100행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전압, 회전속도, 압력, 진동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오류 이력</w:t>
            </w:r>
          </w:p>
        </w:tc>
        <w:tc>
          <w:tcPr>
            <w:tcW w:type="dxa" w:w="170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3,919행</w:t>
            </w:r>
          </w:p>
        </w:tc>
        <w:tc>
          <w:tcPr>
            <w:tcW w:type="dxa" w:w="606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오류 유형과 과거 발생 횟수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정비 이력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3,286행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부품 교체와 교체 후 경과일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고장 이력</w:t>
            </w:r>
          </w:p>
        </w:tc>
        <w:tc>
          <w:tcPr>
            <w:tcW w:type="dxa" w:w="170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761행</w:t>
            </w:r>
          </w:p>
        </w:tc>
        <w:tc>
          <w:tcPr>
            <w:tcW w:type="dxa" w:w="606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고장 시점과 고장 부품</w:t>
            </w:r>
          </w:p>
        </w:tc>
      </w:tr>
    </w:tbl>
    <w:p>
      <w:pPr>
        <w:keepLines/>
        <w:spacing w:after="40"/>
      </w:pPr>
      <w:r>
        <w:rPr>
          <w:b w:val="0"/>
          <w:sz w:val="4"/>
        </w:rPr>
      </w:r>
    </w:p>
    <w:p>
      <w:pPr>
        <w:pStyle w:val="Heading2"/>
      </w:pPr>
      <w:r>
        <w:t>운영 시뮬레이션의 범위</w:t>
      </w:r>
    </w:p>
    <w:p>
      <w:pPr>
        <w:keepLines/>
      </w:pPr>
      <w:r>
        <w:rPr>
          <w:b w:val="0"/>
        </w:rPr>
        <w:t>재고·발주·비용·협력사·조치 기능을 검증하기 위해 가상 운영 데이터를 별도로 구축했습니다. 대표적으로 재고 로트 166행, 구매 발주 169행, 재고 이동 2,526행, 정비 기록 2,248행, 비용 정보 32행을 사용했습니다.</w:t>
      </w:r>
    </w:p>
    <w:p>
      <w:pPr>
        <w:keepLines/>
      </w:pPr>
      <w:r>
        <w:rPr>
          <w:b/>
          <w:sz w:val="21"/>
        </w:rPr>
        <w:t>이 데이터는 실제 공장의 운영 실적이 아닙니다. 예측 모델의 성능과 가상 운영 시나리오의 실행 결과를 구분해 해석했습니다.</w:t>
      </w:r>
    </w:p>
    <w:p>
      <w:pPr>
        <w:keepLines/>
        <w:spacing w:after="200" w:line="240" w:lineRule="exact"/>
      </w:pPr>
      <w:r>
        <w:rPr>
          <w:b w:val="0"/>
          <w:sz w:val="17"/>
        </w:rPr>
        <w:t>근거: 발표자료 5~13쪽. 원천 데이터의 외부 재배포는 출처와 이용조건 확인이 필요합니다.</w:t>
      </w:r>
    </w:p>
    <w:p>
      <w:pPr>
        <w:keepNext/>
        <w:keepLines/>
        <w:pageBreakBefore/>
        <w:spacing w:after="160"/>
      </w:pPr>
      <w:r>
        <w:rPr>
          <w:b/>
          <w:sz w:val="18"/>
        </w:rPr>
        <w:t>PROJECT PORTFOLIO   03</w:t>
      </w:r>
    </w:p>
    <w:p>
      <w:pPr>
        <w:pStyle w:val="Heading1"/>
      </w:pPr>
      <w:r>
        <w:t>03 시스템 아키텍처와 데이터 흐름</w:t>
      </w:r>
    </w:p>
    <w:p>
      <w:pPr>
        <w:keepLines/>
        <w:spacing w:after="240"/>
      </w:pPr>
      <w:r>
        <w:rPr>
          <w:b w:val="0"/>
          <w:sz w:val="22"/>
        </w:rPr>
        <w:t>데이터 수집부터 예측과 계획 계산, 운영 기록 저장, 화면 표시까지 한 흐름으로 연결했습니다.</w:t>
      </w:r>
    </w:p>
    <w:p>
      <w:pPr>
        <w:keepNext/>
        <w:spacing w:after="80" w:line="240" w:lineRule="auto"/>
        <w:jc w:val="center"/>
      </w:pPr>
      <w:r>
        <w:drawing>
          <wp:inline>
            <wp:extent cx="6228000" cy="2490572"/>
            <wp:docPr id="2" name="Picture 2" descr="데이터 소스 전처리 모델 서비스 로직 MySQL 데이터 계층 Dash 대시보드로 이어지는 전체 아키텍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49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 w:line="240" w:lineRule="exact"/>
      </w:pPr>
      <w:r>
        <w:rPr>
          <w:b w:val="0"/>
          <w:sz w:val="17"/>
        </w:rPr>
        <w:t>그림 1  전체 시스템 구조도 · 발표자료 17쪽 원본</w:t>
      </w:r>
    </w:p>
    <w:p>
      <w:pPr>
        <w:pStyle w:val="Heading2"/>
      </w:pPr>
      <w:r>
        <w:t>목적에 따라 분리한 전처리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4195"/>
        <w:gridCol w:w="4195"/>
      </w:tblGrid>
      <w:tr>
        <w:trPr>
          <w:cantSplit/>
          <w:tblHeader/>
        </w:trPr>
        <w:tc>
          <w:tcPr>
            <w:tcW w:type="dxa" w:w="1361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195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고장 위험 예측</w:t>
            </w:r>
          </w:p>
        </w:tc>
        <w:tc>
          <w:tcPr>
            <w:tcW w:type="dxa" w:w="4195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센서 이상탐지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입력</w:t>
            </w:r>
          </w:p>
        </w:tc>
        <w:tc>
          <w:tcPr>
            <w:tcW w:type="dxa" w:w="419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센서, 오류, 정비 및 고장 이력</w:t>
            </w:r>
          </w:p>
        </w:tc>
        <w:tc>
          <w:tcPr>
            <w:tcW w:type="dxa" w:w="419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고장 라벨 없이 센서 4종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시간 기준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일 단위 집계 및 3·7·14·30일 특징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6·24·72시간 과거 구간 특징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주요 특징</w:t>
            </w:r>
          </w:p>
        </w:tc>
        <w:tc>
          <w:tcPr>
            <w:tcW w:type="dxa" w:w="419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이동평균·표준편차, 추세, 오류 횟수, 교체 후 경과일</w:t>
            </w:r>
          </w:p>
        </w:tc>
        <w:tc>
          <w:tcPr>
            <w:tcW w:type="dxa" w:w="419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72시간 편차, z-score, 1시간 변화량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품질 및 누수 관리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t−1까지 입력, t부터 H일 내 고장을 정답으로 구성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키·중복·무한값·시간 간격 검사, 이전 72시간 이력 확인</w:t>
            </w:r>
          </w:p>
        </w:tc>
      </w:tr>
    </w:tbl>
    <w:p>
      <w:pPr>
        <w:keepLines/>
        <w:spacing w:after="40"/>
      </w:pPr>
      <w:r>
        <w:rPr>
          <w:b w:val="0"/>
          <w:sz w:val="4"/>
        </w:rPr>
      </w:r>
    </w:p>
    <w:p>
      <w:pPr>
        <w:pStyle w:val="Heading2"/>
      </w:pPr>
      <w:r>
        <w:t>예측 결과를 정비 계획으로 연결</w:t>
      </w:r>
    </w:p>
    <w:p>
      <w:pPr>
        <w:keepLines/>
      </w:pPr>
      <w:r>
        <w:rPr>
          <w:b w:val="0"/>
        </w:rPr>
        <w:t>LightGBM의 부품별 위험 결과와 Isolation Forest의 센서 이상 점수를 함께 활용합니다. 정비 계획 로직은 위험도가 높은 설비부터 재고를 배정하고, 재고 사용 가능 시점·입고 예정일·조달기간·준비기간을 반영해 발주 마감과 대응 상태를 계산합니다.</w:t>
      </w:r>
    </w:p>
    <w:p>
      <w:pPr>
        <w:keepLines/>
      </w:pPr>
      <w:r>
        <w:rPr>
          <w:b w:val="0"/>
        </w:rPr>
        <w:t>Qwen3-1.7B는 Python이 확정한 판단과 근거를 바탕으로 대응 내용을 요약합니다. MySQL에는 운영 데이터와 사용자별 설정·조치·발주 기록을 저장하고, Dash와 Plotly가 화면과 그래프를 제공합니다.</w:t>
      </w:r>
    </w:p>
    <w:p>
      <w:pPr>
        <w:keepLines/>
        <w:spacing w:after="200" w:line="240" w:lineRule="exact"/>
      </w:pPr>
      <w:r>
        <w:rPr>
          <w:b w:val="0"/>
          <w:sz w:val="17"/>
        </w:rPr>
        <w:t>근거: 발표자료 15~17쪽, 19~21쪽, 30~31쪽. 원본 입력, 계산 결과, 사용자 조치 기록의 역할을 분리했습니다.</w:t>
      </w:r>
    </w:p>
    <w:p>
      <w:pPr>
        <w:keepNext/>
        <w:keepLines/>
        <w:pageBreakBefore/>
        <w:spacing w:after="160"/>
      </w:pPr>
      <w:r>
        <w:rPr>
          <w:b/>
          <w:sz w:val="18"/>
        </w:rPr>
        <w:t>PROJECT PORTFOLIO   04</w:t>
      </w:r>
    </w:p>
    <w:p>
      <w:pPr>
        <w:pStyle w:val="Heading1"/>
      </w:pPr>
      <w:r>
        <w:t>03 주요 화면과 서비스 실행 흐름</w:t>
      </w:r>
    </w:p>
    <w:p>
      <w:pPr>
        <w:keepLines/>
        <w:spacing w:after="240"/>
      </w:pPr>
      <w:r>
        <w:rPr>
          <w:b w:val="0"/>
          <w:sz w:val="22"/>
        </w:rPr>
        <w:t>메인 화면은 오늘 먼저 확인할 설비와 대응 업무를 정리하는 시작점입니다.</w:t>
      </w:r>
    </w:p>
    <w:p>
      <w:pPr>
        <w:keepNext/>
        <w:spacing w:after="80" w:line="240" w:lineRule="auto"/>
        <w:jc w:val="center"/>
      </w:pPr>
      <w:r>
        <w:drawing>
          <wp:inline>
            <wp:extent cx="5976000" cy="5021803"/>
            <wp:docPr id="3" name="Picture 3" descr="메인 대시보드의 사이드바 업무 달력 우선 확인 설비 재고 및 대응 현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021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 w:line="240" w:lineRule="exact"/>
      </w:pPr>
      <w:r>
        <w:rPr>
          <w:b w:val="0"/>
          <w:sz w:val="17"/>
        </w:rPr>
        <w:t>그림 2  메인 대시보드 · 발표자료 23쪽 원본 화면</w:t>
      </w:r>
    </w:p>
    <w:p>
      <w:pPr>
        <w:pStyle w:val="Heading2"/>
      </w:pPr>
      <w:r>
        <w:t>담당자의 확인 순서</w:t>
      </w:r>
    </w:p>
    <w:p>
      <w:pPr>
        <w:keepLines/>
      </w:pPr>
      <w:r>
        <w:rPr>
          <w:b w:val="0"/>
        </w:rPr>
        <w:t>① 메인에서 우선 대응 설비와 업무를 확인합니다. ② 설비 상세에서 고장 위험과 센서 이상 근거를 확인합니다. ③ 재고와 발주 비용을 비교한 뒤 발주 또는 조치를 기록합니다. ④ 통계 화면에서 전체 설비의 위험 분포를 다시 살펴봅니다.</w:t>
      </w:r>
    </w:p>
    <w:p>
      <w:pPr>
        <w:keepLines/>
      </w:pPr>
      <w:r>
        <w:rPr>
          <w:b w:val="0"/>
          <w:sz w:val="19"/>
        </w:rPr>
        <w:t>메인 기능: F01 위험 탐지, F02 재고·조달 위험 계산, F03 AI 한 줄 대응 요약, F04 대응 이력 및 성과 추적.</w:t>
      </w:r>
    </w:p>
    <w:p>
      <w:pPr>
        <w:keepLines/>
        <w:spacing w:after="200" w:line="240" w:lineRule="exact"/>
      </w:pPr>
      <w:r>
        <w:rPr>
          <w:b w:val="0"/>
          <w:sz w:val="17"/>
        </w:rPr>
        <w:t>근거: 발표자료 18~19쪽, 22~23쪽. 화면 구현은 팀 공동 산출물입니다.</w:t>
      </w:r>
    </w:p>
    <w:p>
      <w:pPr>
        <w:keepNext/>
        <w:keepLines/>
        <w:pageBreakBefore/>
        <w:spacing w:after="160"/>
      </w:pPr>
      <w:r>
        <w:rPr>
          <w:b/>
          <w:sz w:val="18"/>
        </w:rPr>
        <w:t>PROJECT PORTFOLIO   05</w:t>
      </w:r>
    </w:p>
    <w:p>
      <w:pPr>
        <w:pStyle w:val="Heading1"/>
      </w:pPr>
      <w:r>
        <w:t>03 설비 상세와 의사결정 지원</w:t>
      </w:r>
    </w:p>
    <w:p>
      <w:pPr>
        <w:keepLines/>
        <w:spacing w:after="240"/>
      </w:pPr>
      <w:r>
        <w:rPr>
          <w:b w:val="0"/>
          <w:sz w:val="22"/>
        </w:rPr>
        <w:t>선택한 설비의 고장 위험과 센서 근거를 확인하고 필요한 대응을 구체화합니다.</w:t>
      </w:r>
    </w:p>
    <w:p>
      <w:pPr>
        <w:keepNext/>
        <w:spacing w:after="80" w:line="240" w:lineRule="auto"/>
        <w:jc w:val="center"/>
      </w:pPr>
      <w:r>
        <w:drawing>
          <wp:inline>
            <wp:extent cx="5976000" cy="5056615"/>
            <wp:docPr id="4" name="Picture 4" descr="설비 상세 화면의 부품 위험 요약과 센서 추이 및 원인 근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05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 w:line="240" w:lineRule="exact"/>
      </w:pPr>
      <w:r>
        <w:rPr>
          <w:b w:val="0"/>
          <w:sz w:val="17"/>
        </w:rPr>
        <w:t>그림 3  설비 상세 대시보드 · 발표자료 24쪽 원본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6917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의사결정에서의 역할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F05 부품 고장 위험</w:t>
            </w:r>
          </w:p>
        </w:tc>
        <w:tc>
          <w:tcPr>
            <w:tcW w:type="dxa" w:w="6917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부품별 향후 위험을 확인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F06 센서 이상 근거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센서 추이와 이상탐지 근거를 확인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F07 발주 시점과 비용</w:t>
            </w:r>
          </w:p>
        </w:tc>
        <w:tc>
          <w:tcPr>
            <w:tcW w:type="dxa" w:w="6917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재고와 조달 제약을 반영해 발주 대안을 비교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F08 조치 이력 관리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담당자와 조치 내역을 기록하고 확인</w:t>
            </w:r>
          </w:p>
        </w:tc>
      </w:tr>
    </w:tbl>
    <w:p>
      <w:pPr>
        <w:keepLines/>
        <w:spacing w:after="40"/>
      </w:pPr>
      <w:r>
        <w:rPr>
          <w:b w:val="0"/>
          <w:sz w:val="4"/>
        </w:rPr>
      </w:r>
    </w:p>
    <w:p>
      <w:pPr>
        <w:keepLines/>
        <w:spacing w:after="200" w:line="240" w:lineRule="exact"/>
      </w:pPr>
      <w:r>
        <w:rPr>
          <w:b w:val="0"/>
          <w:sz w:val="17"/>
        </w:rPr>
        <w:t>근거: 발표자료 20쪽, 24쪽. 실제 ERP 발주 연계는 향후 과제입니다.</w:t>
      </w:r>
    </w:p>
    <w:p>
      <w:pPr>
        <w:keepNext/>
        <w:keepLines/>
        <w:pageBreakBefore/>
        <w:spacing w:after="160"/>
      </w:pPr>
      <w:r>
        <w:rPr>
          <w:b/>
          <w:sz w:val="18"/>
        </w:rPr>
        <w:t>PROJECT PORTFOLIO   06</w:t>
      </w:r>
    </w:p>
    <w:p>
      <w:pPr>
        <w:pStyle w:val="Heading1"/>
      </w:pPr>
      <w:r>
        <w:t>04 핵심 수행 과정과 기술적 의사결정</w:t>
      </w:r>
    </w:p>
    <w:p>
      <w:pPr>
        <w:keepLines/>
        <w:spacing w:after="240"/>
      </w:pPr>
      <w:r>
        <w:rPr>
          <w:b w:val="0"/>
          <w:sz w:val="22"/>
        </w:rPr>
        <w:t>개인 담당인 데이터 구축과 EDA를 중심으로, 팀의 모델 선택과 서비스 설계에 필요한 근거를 정리했습니다.</w:t>
      </w:r>
    </w:p>
    <w:p>
      <w:pPr>
        <w:pStyle w:val="Heading2"/>
      </w:pPr>
      <w:r>
        <w:t>개인 수행 범위</w:t>
      </w:r>
    </w:p>
    <w:p>
      <w:pPr>
        <w:keepLines/>
      </w:pPr>
      <w:r>
        <w:rPr>
          <w:b w:val="0"/>
        </w:rPr>
        <w:t>외부 센서·오류·정비·고장 데이터를 구분하고 각 파일의 행 수와 활용 목적을 정리했습니다. 가상 운영 데이터는 부품·재고·발주·정비·비용을 연결하는 구조로 구성해, 공개 데이터에 없는 업무 흐름을 검증할 수 있도록 했습니다.</w:t>
      </w:r>
    </w:p>
    <w:p>
      <w:pPr>
        <w:keepNext/>
        <w:spacing w:after="80" w:line="240" w:lineRule="auto"/>
        <w:jc w:val="center"/>
      </w:pPr>
      <w:r>
        <w:drawing>
          <wp:inline>
            <wp:extent cx="5616000" cy="3322680"/>
            <wp:docPr id="5" name="Picture 5" descr="부품별 고장 이벤트 수 comp1 192 comp2 259 comp3 131 comp4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2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 w:line="240" w:lineRule="exact"/>
      </w:pPr>
      <w:r>
        <w:rPr>
          <w:b w:val="0"/>
          <w:sz w:val="17"/>
        </w:rPr>
        <w:t>그림 4  부품별 고장 발생량 · 발표자료 11쪽 원본. 빈도 차이만으로 예측 성능을 판단하지 않았습니다.</w:t>
      </w:r>
    </w:p>
    <w:p>
      <w:pPr>
        <w:pStyle w:val="Heading2"/>
      </w:pPr>
      <w:r>
        <w:t>EDA에서 확인한 분석 관점</w:t>
      </w:r>
    </w:p>
    <w:p>
      <w:pPr>
        <w:keepLines/>
      </w:pPr>
      <w:r>
        <w:rPr>
          <w:b w:val="0"/>
        </w:rPr>
        <w:t>설비 모델별 연령 분포, 센서별 값의 분포와 스케일, 오류 이후의 고장 관측, 정비 유형과 긴급 교체 비중, 부품별 고장량, 반복 고장 간격을 살폈습니다. 데이터의 분포와 시간 구조를 먼저 파악하고 모델 입력 및 결과 해석에 활용했습니다.</w:t>
      </w:r>
    </w:p>
    <w:p>
      <w:pPr>
        <w:pStyle w:val="Heading2"/>
      </w:pPr>
      <w:r>
        <w:t>팀의 주요 선택과 AI 활용</w:t>
      </w:r>
    </w:p>
    <w:p>
      <w:pPr>
        <w:keepLines/>
      </w:pPr>
      <w:r>
        <w:rPr>
          <w:b w:val="0"/>
        </w:rPr>
        <w:t>팀은 비슷한 AUC에서 학습이 빠른 LightGBM을 채택하고, Isolation Forest를 기존 IQR·3-Sigma와 병행하는 신호로 사용했습니다. 예측 성능이 낮은 comp2는 안전재고로 대응하도록 계획 로직을 구분했습니다.</w:t>
      </w:r>
    </w:p>
    <w:p>
      <w:pPr>
        <w:keepLines/>
      </w:pPr>
      <w:r>
        <w:rPr>
          <w:b w:val="0"/>
          <w:sz w:val="20"/>
        </w:rPr>
        <w:t>Claude Code는 Dash 콜백과 CSS 반복 구현을 보조했고, 대화형 LLM은 실험 설계·누수 진단 검토에 활용했습니다. 판단 규칙과 평가 해석은 사람이 확인하고, 로컬 Qwen3-1.7B에는 근거 선택과 요약 역할을 맡겼습니다.</w:t>
      </w:r>
    </w:p>
    <w:p>
      <w:pPr>
        <w:keepLines/>
        <w:spacing w:after="200" w:line="240" w:lineRule="exact"/>
      </w:pPr>
      <w:r>
        <w:rPr>
          <w:b w:val="0"/>
          <w:sz w:val="17"/>
        </w:rPr>
        <w:t>근거: 발표자료 2쪽, 7~16쪽, 28~31쪽. 모델 개발과 UI 구현의 단독 수행을 주장하지 않습니다.</w:t>
      </w:r>
    </w:p>
    <w:p>
      <w:pPr>
        <w:keepNext/>
        <w:keepLines/>
        <w:pageBreakBefore/>
        <w:spacing w:after="160"/>
      </w:pPr>
      <w:r>
        <w:rPr>
          <w:b/>
          <w:sz w:val="18"/>
        </w:rPr>
        <w:t>PROJECT PORTFOLIO   07</w:t>
      </w:r>
    </w:p>
    <w:p>
      <w:pPr>
        <w:pStyle w:val="Heading1"/>
      </w:pPr>
      <w:r>
        <w:t>05 트러블 슈팅과 협업</w:t>
      </w:r>
    </w:p>
    <w:p>
      <w:pPr>
        <w:keepLines/>
        <w:spacing w:after="240"/>
      </w:pPr>
      <w:r>
        <w:rPr>
          <w:b w:val="0"/>
          <w:sz w:val="22"/>
        </w:rPr>
        <w:t>모델 평가의 신뢰성, AI 설명의 근거 일치, 화면 통합의 안정성을 중심으로 문제를 해결했습니다.</w:t>
      </w:r>
    </w:p>
    <w:p>
      <w:pPr>
        <w:pStyle w:val="Heading2"/>
      </w:pPr>
      <w:r>
        <w:t>비정상적으로 높은 AUC와 데이터 누수</w:t>
      </w:r>
    </w:p>
    <w:p>
      <w:pPr>
        <w:keepLines/>
      </w:pPr>
      <w:r>
        <w:rPr>
          <w:b/>
        </w:rPr>
        <w:t>문제와 원인  모델 평가에서 AUC 0.98 이상이 나타났고, 미래 정보를 학습에 사용하는 누수를 확인했습니다.</w:t>
      </w:r>
    </w:p>
    <w:p>
      <w:pPr>
        <w:keepLines/>
      </w:pPr>
      <w:r>
        <w:rPr>
          <w:b w:val="0"/>
        </w:rPr>
        <w:t>해결  bfill을 제거하고 ffill만 사용했습니다. 30일 워밍업 구간을 제외하고 미래 정보를 포함할 수 있는 특징을 제거했으며, 학습과 테스트를 시간 기준으로 분리했습니다.</w:t>
      </w:r>
    </w:p>
    <w:p>
      <w:pPr>
        <w:keepLines/>
      </w:pPr>
      <w:r>
        <w:rPr>
          <w:b w:val="0"/>
          <w:sz w:val="20"/>
        </w:rPr>
        <w:t>결과  실제 운영에서 사용할 수 있는 과거 정보 기준으로 평가 구조를 수정했습니다. 수정 후 모델 비교 수치는 다음 페이지에 제시했습니다.</w:t>
      </w:r>
    </w:p>
    <w:p>
      <w:pPr>
        <w:pStyle w:val="Heading2"/>
      </w:pPr>
      <w:r>
        <w:t>Qwen 요약과 실제 데이터의 불일치</w:t>
      </w:r>
    </w:p>
    <w:p>
      <w:pPr>
        <w:keepLines/>
      </w:pPr>
      <w:r>
        <w:rPr>
          <w:b/>
        </w:rPr>
        <w:t>문제와 원인  여러 데이터를 텍스트로 전달하고 판단과 생성을 모두 LLM에 맡기면서, 실제 데이터에 없는 설명과 결론·근거 불일치가 발생했습니다.</w:t>
      </w:r>
    </w:p>
    <w:p>
      <w:pPr>
        <w:keepLines/>
      </w:pPr>
      <w:r>
        <w:rPr>
          <w:b w:val="0"/>
        </w:rPr>
        <w:t>해결  조치 우선순위는 Python 규칙으로 결정하고, LLM이 사용할 근거를 제한했습니다. 모델이 수치나 판정을 새로 만드는 범위를 줄였습니다.</w:t>
      </w:r>
    </w:p>
    <w:p>
      <w:pPr>
        <w:keepLines/>
      </w:pPr>
      <w:r>
        <w:rPr>
          <w:b w:val="0"/>
          <w:sz w:val="20"/>
        </w:rPr>
        <w:t>결과  입력 근거와 일치하는 설명을 만들도록 구조를 변경했습니다. 별도의 환각률 개선 수치는 발표자료에 제시하지 않았습니다.</w:t>
      </w:r>
    </w:p>
    <w:p>
      <w:pPr>
        <w:pStyle w:val="Heading2"/>
      </w:pPr>
      <w:r>
        <w:t>페이지 통합 시 ID와 콜백 충돌</w:t>
      </w:r>
    </w:p>
    <w:p>
      <w:pPr>
        <w:keepLines/>
      </w:pPr>
      <w:r>
        <w:rPr>
          <w:b/>
        </w:rPr>
        <w:t>문제와 원인  팀원이 각각 만든 페이지에서 동일한 Component ID와 Output을 사용해 콜백이 충돌했습니다.</w:t>
      </w:r>
    </w:p>
    <w:p>
      <w:pPr>
        <w:keepLines/>
      </w:pPr>
      <w:r>
        <w:rPr>
          <w:b w:val="0"/>
        </w:rPr>
        <w:t>해결  페이지별 ID 접두어를 표준화하고 중복 Output을 방지했습니다. 공통 Store·콜백 구조를 통일하고 CSS를 페이지별로 분리했습니다.</w:t>
      </w:r>
    </w:p>
    <w:p>
      <w:pPr>
        <w:keepLines/>
      </w:pPr>
      <w:r>
        <w:rPr>
          <w:b w:val="0"/>
          <w:sz w:val="20"/>
        </w:rPr>
        <w:t>결과  발표자료에서는 통합 시 ID 충돌에 따른 기동 실패를 해소했다고 보고했습니다.</w:t>
      </w:r>
    </w:p>
    <w:p>
      <w:pPr>
        <w:pStyle w:val="Heading2"/>
      </w:pPr>
      <w:r>
        <w:t>팀 협업과 역할 분담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6236"/>
        <w:gridCol w:w="1814"/>
      </w:tblGrid>
      <w:tr>
        <w:trPr>
          <w:cantSplit/>
          <w:tblHeader/>
        </w:trPr>
        <w:tc>
          <w:tcPr>
            <w:tcW w:type="dxa" w:w="1701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팀원</w:t>
            </w:r>
          </w:p>
        </w:tc>
        <w:tc>
          <w:tcPr>
            <w:tcW w:type="dxa" w:w="6236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1814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기여도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김경제</w:t>
            </w:r>
          </w:p>
        </w:tc>
        <w:tc>
          <w:tcPr>
            <w:tcW w:type="dxa" w:w="623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데이터 구축 및 EDA</w:t>
            </w:r>
          </w:p>
        </w:tc>
        <w:tc>
          <w:tcPr>
            <w:tcW w:type="dxa" w:w="1814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33.3%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윤가은</w:t>
            </w:r>
          </w:p>
        </w:tc>
        <w:tc>
          <w:tcPr>
            <w:tcW w:type="dxa" w:w="623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UI/UX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33.3%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송지현</w:t>
            </w:r>
          </w:p>
        </w:tc>
        <w:tc>
          <w:tcPr>
            <w:tcW w:type="dxa" w:w="623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모델 학습 및 평가</w:t>
            </w:r>
          </w:p>
        </w:tc>
        <w:tc>
          <w:tcPr>
            <w:tcW w:type="dxa" w:w="1814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33.4%</w:t>
            </w:r>
          </w:p>
        </w:tc>
      </w:tr>
    </w:tbl>
    <w:p>
      <w:pPr>
        <w:keepLines/>
        <w:spacing w:after="40"/>
      </w:pPr>
      <w:r>
        <w:rPr>
          <w:b w:val="0"/>
          <w:sz w:val="4"/>
        </w:rPr>
      </w:r>
    </w:p>
    <w:p>
      <w:pPr>
        <w:keepLines/>
      </w:pPr>
      <w:r>
        <w:rPr>
          <w:b w:val="0"/>
          <w:sz w:val="19"/>
        </w:rPr>
        <w:t>GitHub로 코드와 브랜치를 관리하고, Notion으로 일정과 문제를 공유했으며, Figma로 아이디어를 정리했습니다. 발표자료 기준 F01~F10을 나누어 개발하고 5회의 브랜치 통합을 수행했습니다.</w:t>
      </w:r>
    </w:p>
    <w:p>
      <w:pPr>
        <w:keepLines/>
        <w:spacing w:after="200" w:line="240" w:lineRule="exact"/>
      </w:pPr>
      <w:r>
        <w:rPr>
          <w:b w:val="0"/>
          <w:sz w:val="17"/>
        </w:rPr>
        <w:t>근거: 발표자료 2쪽, 32~33쪽. 트러블 슈팅은 팀 차원의 해결 기록입니다.</w:t>
      </w:r>
    </w:p>
    <w:p>
      <w:pPr>
        <w:keepNext/>
        <w:keepLines/>
        <w:pageBreakBefore/>
        <w:spacing w:after="160"/>
      </w:pPr>
      <w:r>
        <w:rPr>
          <w:b/>
          <w:sz w:val="18"/>
        </w:rPr>
        <w:t>PROJECT PORTFOLIO   08</w:t>
      </w:r>
    </w:p>
    <w:p>
      <w:pPr>
        <w:pStyle w:val="Heading1"/>
      </w:pPr>
      <w:r>
        <w:t>06 객관적 성과와 검증</w:t>
      </w:r>
    </w:p>
    <w:p>
      <w:pPr>
        <w:keepLines/>
        <w:spacing w:after="240"/>
      </w:pPr>
      <w:r>
        <w:rPr>
          <w:b w:val="0"/>
          <w:sz w:val="22"/>
        </w:rPr>
        <w:t>발표자료의 실험 조건과 비교 대상을 유지해 모델 성능을 정리했습니다.</w:t>
      </w:r>
    </w:p>
    <w:p>
      <w:pPr>
        <w:pStyle w:val="Heading2"/>
      </w:pPr>
      <w:r>
        <w:t>고장예측 모델 비교</w:t>
      </w:r>
    </w:p>
    <w:p>
      <w:pPr>
        <w:keepLines/>
      </w:pPr>
      <w:r>
        <w:rPr>
          <w:b w:val="0"/>
          <w:sz w:val="20"/>
        </w:rPr>
        <w:t>학습 24,300행, 테스트 9,300행, 입력 변수 79개를 동일 조건으로 비교했습니다. LightGBM은 랜덤포레스트와 비슷한 AUC를 보이면서 학습 시간이 2.5초에서 1.0초로 짧았습니다.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1"/>
        <w:gridCol w:w="1871"/>
        <w:gridCol w:w="1871"/>
        <w:gridCol w:w="2778"/>
      </w:tblGrid>
      <w:tr>
        <w:trPr>
          <w:cantSplit/>
          <w:tblHeader/>
        </w:trPr>
        <w:tc>
          <w:tcPr>
            <w:tcW w:type="dxa" w:w="3231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후보 모델</w:t>
            </w:r>
          </w:p>
        </w:tc>
        <w:tc>
          <w:tcPr>
            <w:tcW w:type="dxa" w:w="1871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평균 AUC</w:t>
            </w:r>
          </w:p>
        </w:tc>
        <w:tc>
          <w:tcPr>
            <w:tcW w:type="dxa" w:w="1871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학습 시간</w:t>
            </w:r>
          </w:p>
        </w:tc>
        <w:tc>
          <w:tcPr>
            <w:tcW w:type="dxa" w:w="2778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결정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랜덤포레스트</w:t>
            </w:r>
          </w:p>
        </w:tc>
        <w:tc>
          <w:tcPr>
            <w:tcW w:type="dxa" w:w="187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0.830</w:t>
            </w:r>
          </w:p>
        </w:tc>
        <w:tc>
          <w:tcPr>
            <w:tcW w:type="dxa" w:w="187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2.5초</w:t>
            </w:r>
          </w:p>
        </w:tc>
        <w:tc>
          <w:tcPr>
            <w:tcW w:type="dxa" w:w="2778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비교 후보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LightGBM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0.826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1.0초</w:t>
            </w:r>
          </w:p>
        </w:tc>
        <w:tc>
          <w:tcPr>
            <w:tcW w:type="dxa" w:w="277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채택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로지스틱 회귀</w:t>
            </w:r>
          </w:p>
        </w:tc>
        <w:tc>
          <w:tcPr>
            <w:tcW w:type="dxa" w:w="187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0.724</w:t>
            </w:r>
          </w:p>
        </w:tc>
        <w:tc>
          <w:tcPr>
            <w:tcW w:type="dxa" w:w="187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0.2초</w:t>
            </w:r>
          </w:p>
        </w:tc>
        <w:tc>
          <w:tcPr>
            <w:tcW w:type="dxa" w:w="2778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미채택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MLP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0.690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5.1초</w:t>
            </w:r>
          </w:p>
        </w:tc>
        <w:tc>
          <w:tcPr>
            <w:tcW w:type="dxa" w:w="277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미채택</w:t>
            </w:r>
          </w:p>
        </w:tc>
      </w:tr>
    </w:tbl>
    <w:p>
      <w:pPr>
        <w:keepLines/>
        <w:spacing w:after="40"/>
      </w:pPr>
      <w:r>
        <w:rPr>
          <w:b w:val="0"/>
          <w:sz w:val="4"/>
        </w:rPr>
      </w:r>
    </w:p>
    <w:p>
      <w:pPr>
        <w:keepNext/>
        <w:spacing w:after="80" w:line="240" w:lineRule="auto"/>
        <w:jc w:val="center"/>
      </w:pPr>
      <w:r>
        <w:drawing>
          <wp:inline>
            <wp:extent cx="6120000" cy="1768000"/>
            <wp:docPr id="6" name="Picture 6" descr="기존 방식과 LightGBM의 평균 AUC PR-AUC Lift를 서로 다른 세 축에서 비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 w:line="240" w:lineRule="exact"/>
      </w:pPr>
      <w:r>
        <w:rPr>
          <w:b w:val="0"/>
          <w:sz w:val="17"/>
        </w:rPr>
        <w:t>그림 5  기존 방식과 LightGBM 비교 · 발표자료 34쪽 수치 재구성. 각 지표는 서로 다른 축에서 비교했습니다.</w:t>
      </w:r>
    </w:p>
    <w:p>
      <w:pPr>
        <w:pStyle w:val="Heading2"/>
      </w:pPr>
      <w:r>
        <w:t>이상탐지는 경고의 가치로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041"/>
        <w:gridCol w:w="2608"/>
        <w:gridCol w:w="2154"/>
      </w:tblGrid>
      <w:tr>
        <w:trPr>
          <w:cantSplit/>
          <w:tblHeader/>
        </w:trPr>
        <w:tc>
          <w:tcPr>
            <w:tcW w:type="dxa" w:w="2948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2041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경고 발생률</w:t>
            </w:r>
          </w:p>
        </w:tc>
        <w:tc>
          <w:tcPr>
            <w:tcW w:type="dxa" w:w="2608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고장탐지 24시간</w:t>
            </w:r>
          </w:p>
        </w:tc>
        <w:tc>
          <w:tcPr>
            <w:tcW w:type="dxa" w:w="2154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Lift 24시간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IQR</w:t>
            </w:r>
          </w:p>
        </w:tc>
        <w:tc>
          <w:tcPr>
            <w:tcW w:type="dxa" w:w="204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5.0%</w:t>
            </w:r>
          </w:p>
        </w:tc>
        <w:tc>
          <w:tcPr>
            <w:tcW w:type="dxa" w:w="2608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94.90%</w:t>
            </w:r>
          </w:p>
        </w:tc>
        <w:tc>
          <w:tcPr>
            <w:tcW w:type="dxa" w:w="2154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4.44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3-Sigma</w:t>
            </w:r>
          </w:p>
        </w:tc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2.2%</w:t>
            </w:r>
          </w:p>
        </w:tc>
        <w:tc>
          <w:tcPr>
            <w:tcW w:type="dxa" w:w="260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84.70%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5.50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Isolation Forest</w:t>
            </w:r>
          </w:p>
        </w:tc>
        <w:tc>
          <w:tcPr>
            <w:tcW w:type="dxa" w:w="2041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3.7%</w:t>
            </w:r>
          </w:p>
        </w:tc>
        <w:tc>
          <w:tcPr>
            <w:tcW w:type="dxa" w:w="2608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81.00%</w:t>
            </w:r>
          </w:p>
        </w:tc>
        <w:tc>
          <w:tcPr>
            <w:tcW w:type="dxa" w:w="2154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8.45</w:t>
            </w:r>
          </w:p>
        </w:tc>
      </w:tr>
    </w:tbl>
    <w:p>
      <w:pPr>
        <w:keepLines/>
        <w:spacing w:after="40"/>
      </w:pPr>
      <w:r>
        <w:rPr>
          <w:b w:val="0"/>
          <w:sz w:val="4"/>
        </w:rPr>
      </w:r>
    </w:p>
    <w:p>
      <w:pPr>
        <w:keepLines/>
      </w:pPr>
      <w:r>
        <w:rPr>
          <w:b w:val="0"/>
          <w:sz w:val="21"/>
        </w:rPr>
        <w:t>Isolation Forest는 고장탐지율이 가장 높은 모델은 아니지만, 24시간 기준 Lift가 가장 높았습니다. 기존 기준을 안전망으로 유지하면서 점검 우선순위 조정 신호로 병행하는 방향을 선택했습니다.</w:t>
      </w:r>
    </w:p>
    <w:p>
      <w:pPr>
        <w:keepLines/>
      </w:pPr>
      <w:r>
        <w:rPr>
          <w:b/>
          <w:sz w:val="19"/>
        </w:rPr>
        <w:t>해석 범위  위 수치는 공개 시뮬레이션 데이터의 오프라인 평가입니다. 현장 비용 절감, 실제 설비 정지 감소, 동시 접속 성능 및 개발시간 단축률을 검증한 수치는 아닙니다.</w:t>
      </w:r>
    </w:p>
    <w:p>
      <w:pPr>
        <w:keepLines/>
        <w:spacing w:after="200" w:line="240" w:lineRule="exact"/>
      </w:pPr>
      <w:r>
        <w:rPr>
          <w:b w:val="0"/>
          <w:sz w:val="17"/>
        </w:rPr>
        <w:t>근거: 발표자료 28~29쪽, 34~35쪽. 이상탐지에는 직접적인 정답 라벨이 없어 고장 연계 지표를 사용했습니다.</w:t>
      </w:r>
    </w:p>
    <w:p>
      <w:pPr>
        <w:keepNext/>
        <w:keepLines/>
        <w:pageBreakBefore/>
        <w:spacing w:after="160"/>
      </w:pPr>
      <w:r>
        <w:rPr>
          <w:b/>
          <w:sz w:val="18"/>
        </w:rPr>
        <w:t>PROJECT PORTFOLIO   09</w:t>
      </w:r>
    </w:p>
    <w:p>
      <w:pPr>
        <w:pStyle w:val="Heading1"/>
      </w:pPr>
      <w:r>
        <w:t>07 한계점과 향후 과제</w:t>
      </w:r>
    </w:p>
    <w:p>
      <w:pPr>
        <w:keepLines/>
        <w:spacing w:after="240"/>
      </w:pPr>
      <w:r>
        <w:rPr>
          <w:b w:val="0"/>
          <w:sz w:val="22"/>
        </w:rPr>
        <w:t>운영 데이터와 실제 업무 시스템을 연결해 검증 범위를 넓히는 것이 다음 단계입니다.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6576"/>
      </w:tblGrid>
      <w:tr>
        <w:trPr>
          <w:cantSplit/>
          <w:tblHeader/>
        </w:trPr>
        <w:tc>
          <w:tcPr>
            <w:tcW w:type="dxa" w:w="3175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19"/>
              </w:rPr>
              <w:t>현재 한계</w:t>
            </w:r>
          </w:p>
        </w:tc>
        <w:tc>
          <w:tcPr>
            <w:tcW w:type="dxa" w:w="6576"/>
            <w:vAlign w:val="center"/>
            <w:shd w:fill="17334D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/>
                <w:color w:val="FFFFFF"/>
                <w:sz w:val="19"/>
              </w:rPr>
              <w:t>다음 검증 과제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공개·가상 운영 데이터 중심</w:t>
            </w:r>
          </w:p>
        </w:tc>
        <w:tc>
          <w:tcPr>
            <w:tcW w:type="dxa" w:w="657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실제 센서와 운영 이력을 연계하고 데이터 품질 및 모델 성능 재검증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대시보드 내부 발주 처리</w:t>
            </w:r>
          </w:p>
        </w:tc>
        <w:tc>
          <w:tcPr>
            <w:tcW w:type="dxa" w:w="65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ERP·SAP·구매 시스템과 연동해 승인, 주문, 입고 상태 추적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color w:val="172532"/>
                <w:sz w:val="19"/>
              </w:rPr>
              <w:t>일회성 예측 중심</w:t>
            </w:r>
          </w:p>
        </w:tc>
        <w:tc>
          <w:tcPr>
            <w:tcW w:type="dxa" w:w="6576"/>
            <w:vAlign w:val="center"/>
            <w:shd w:fill="F1F5F8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color w:val="172532"/>
                <w:sz w:val="19"/>
              </w:rPr>
              <w:t>실시간 데이터 갱신과 담당자 피드백을 반영하는 지속학습 검토</w:t>
            </w:r>
          </w:p>
        </w:tc>
      </w:tr>
    </w:tbl>
    <w:p>
      <w:pPr>
        <w:keepLines/>
        <w:spacing w:after="40"/>
      </w:pPr>
      <w:r>
        <w:rPr>
          <w:b w:val="0"/>
          <w:sz w:val="4"/>
        </w:rPr>
      </w:r>
    </w:p>
    <w:p>
      <w:pPr>
        <w:keepNext/>
        <w:spacing w:after="80" w:line="240" w:lineRule="auto"/>
        <w:jc w:val="center"/>
      </w:pPr>
      <w:r>
        <w:drawing>
          <wp:inline>
            <wp:extent cx="4392000" cy="3672655"/>
            <wp:docPr id="7" name="Picture 7" descr="전체 설비의 이상 점수와 고장 위험 점수를 보여주는 두 개의 히트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67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 w:line="240" w:lineRule="exact"/>
      </w:pPr>
      <w:r>
        <w:rPr>
          <w:b w:val="0"/>
          <w:sz w:val="17"/>
        </w:rPr>
        <w:t>그림 6  전체 설비 위험 분포를 비교하는 통계 화면 · 발표자료 25쪽 원본</w:t>
      </w:r>
    </w:p>
    <w:p>
      <w:pPr>
        <w:pStyle w:val="Heading2"/>
      </w:pPr>
      <w:r>
        <w:t>프로젝트를 통해 정리한 관점</w:t>
      </w:r>
    </w:p>
    <w:p>
      <w:pPr>
        <w:keepLines/>
      </w:pPr>
      <w:r>
        <w:rPr>
          <w:b w:val="0"/>
          <w:sz w:val="21"/>
        </w:rPr>
        <w:t>데이터 분석은 모델 점수 산출에서 끝나지 않고, 현장의 대응 조건과 연결되어야 합니다. 센서 관측과 가상 운영 데이터를 구분하고, 데이터의 시간 기준과 한계를 설명하는 작업이 의사결정의 신뢰성을 뒷받침한다는 점을 배웠습니다.</w:t>
      </w:r>
    </w:p>
    <w:p>
      <w:pPr>
        <w:pStyle w:val="Heading2"/>
      </w:pPr>
      <w:r>
        <w:t>프로젝트 산출물</w:t>
      </w:r>
    </w:p>
    <w:p>
      <w:pPr>
        <w:spacing w:after="100"/>
      </w:pPr>
      <w:hyperlink r:id="rId16">
        <w:r>
          <w:rPr>
            <w:color w:val="126B83"/>
            <w:sz w:val="20"/>
          </w:rPr>
          <w:t>GitHub  jgi0117/2team_project</w:t>
        </w:r>
      </w:hyperlink>
    </w:p>
    <w:p>
      <w:pPr>
        <w:spacing w:after="100"/>
      </w:pPr>
      <w:hyperlink r:id="rId17">
        <w:r>
          <w:rPr>
            <w:color w:val="126B83"/>
            <w:sz w:val="20"/>
          </w:rPr>
          <w:t>Notion  팀 프로젝트 기록</w:t>
        </w:r>
      </w:hyperlink>
    </w:p>
    <w:p>
      <w:pPr>
        <w:spacing w:after="100"/>
      </w:pPr>
      <w:hyperlink r:id="rId18">
        <w:r>
          <w:rPr>
            <w:color w:val="126B83"/>
            <w:sz w:val="20"/>
          </w:rPr>
          <w:t>Figma  LSJUMPUP 2TEAM PROJECT</w:t>
        </w:r>
      </w:hyperlink>
    </w:p>
    <w:p>
      <w:pPr>
        <w:keepLines/>
        <w:spacing w:after="200" w:line="240" w:lineRule="exact"/>
      </w:pPr>
      <w:r>
        <w:rPr>
          <w:b w:val="0"/>
          <w:sz w:val="17"/>
        </w:rPr>
        <w:t>내용과 그림 출처: 2조_발표자료_최종본.pptx. 개인 역할은 발표자료 2쪽, 향후 과제는 37쪽을 기준으로 작성했습니다. 팀 공유 링크는 접근 권한이 필요할 수 있습니다.</w:t>
      </w:r>
    </w:p>
    <w:sectPr>
      <w:headerReference w:type="default" r:id="rId7"/>
      <w:footerReference w:type="default" r:id="rId8"/>
      <w:pgSz w:h="16838" w:w="11906" w:orient="portrait"/>
      <w:pgMar w:bottom="964" w:top="964" w:left="1020" w:right="1020" w:header="425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함초롬바탕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설비 정비 의사결정 지원 시스템     </w:t>
    </w: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color w:val="000000"/>
        <w:sz w:val="16"/>
      </w:rPr>
      <w:t>김경제    데이터 구축 및 EDA                                     LS JUMP UP  2조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310" w:lineRule="exact" w:after="140"/>
    </w:pPr>
    <w:rPr>
      <w:rFonts w:ascii="맑은 고딕" w:hAnsi="맑은 고딕" w:eastAsia="맑은 고딕"/>
      <w:color w:val="000000"/>
      <w:sz w:val="21"/>
      <w:u w:val="none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240" w:before="0" w:lineRule="exact" w:line="540"/>
    </w:pPr>
    <w:rPr>
      <w:rFonts w:ascii="맑은 고딕" w:hAnsi="맑은 고딕" w:eastAsia="맑은 고딕"/>
      <w:b/>
      <w:bCs w:val="1"/>
      <w:color w:val="000000"/>
      <w:sz w:val="44"/>
      <w:szCs w:val="48"/>
      <w:u w:val="none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120" w:before="260" w:lineRule="exact" w:line="360"/>
    </w:pPr>
    <w:rPr>
      <w:rFonts w:ascii="맑은 고딕" w:hAnsi="맑은 고딕" w:eastAsia="맑은 고딕"/>
      <w:b/>
      <w:bCs w:val="1"/>
      <w:color w:val="000000"/>
      <w:sz w:val="26"/>
      <w:szCs w:val="36"/>
      <w:u w:val="none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80" w:before="180" w:lineRule="exact" w:line="320"/>
    </w:pPr>
    <w:rPr>
      <w:rFonts w:ascii="맑은 고딕" w:hAnsi="맑은 고딕" w:eastAsia="맑은 고딕"/>
      <w:b/>
      <w:bCs w:val="1"/>
      <w:color w:val="000000"/>
      <w:sz w:val="22"/>
      <w:szCs w:val="28"/>
      <w:u w:val="no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맑은 고딕" w:hAnsi="맑은 고딕" w:eastAsia="맑은 고딕"/>
      <w:b w:val="1"/>
      <w:bCs w:val="1"/>
      <w:color w:val="000000"/>
      <w:sz w:val="24"/>
      <w:szCs w:val="24"/>
      <w:u w:val="no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맑은 고딕" w:hAnsi="맑은 고딕" w:eastAsia="맑은 고딕"/>
      <w:b w:val="1"/>
      <w:bCs w:val="1"/>
      <w:color w:val="000000"/>
      <w:sz w:val="22"/>
      <w:szCs w:val="22"/>
      <w:u w:val="no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맑은 고딕" w:hAnsi="맑은 고딕" w:eastAsia="맑은 고딕"/>
      <w:b w:val="1"/>
      <w:bCs w:val="1"/>
      <w:color w:val="000000"/>
      <w:sz w:val="20"/>
      <w:szCs w:val="20"/>
      <w:u w:val="none"/>
    </w:rPr>
  </w:style>
  <w:style w:type="paragraph" w:styleId="Title">
    <w:name w:val="Title"/>
    <w:basedOn w:val="Normal"/>
    <w:next w:val="Normal"/>
    <w:pPr>
      <w:keepNext/>
      <w:keepLines w:val="1"/>
      <w:pageBreakBefore w:val="0"/>
      <w:spacing w:after="240" w:before="0" w:lineRule="exact" w:line="620"/>
    </w:pPr>
    <w:rPr>
      <w:rFonts w:ascii="맑은 고딕" w:hAnsi="맑은 고딕" w:eastAsia="맑은 고딕"/>
      <w:b/>
      <w:bCs w:val="1"/>
      <w:color w:val="000000"/>
      <w:sz w:val="52"/>
      <w:szCs w:val="72"/>
      <w:u w:val="none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맑은 고딕" w:hAnsi="맑은 고딕" w:eastAsia="맑은 고딕"/>
      <w:color w:val="000000"/>
      <w:w w:val="100"/>
      <w:position w:val="-1"/>
      <w:sz w:val="22"/>
      <w:szCs w:val="22"/>
      <w:u w:val="none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맑은 고딕" w:hAnsi="맑은 고딕" w:eastAsia="맑은 고딕"/>
      <w:color w:val="000000"/>
      <w:w w:val="100"/>
      <w:position w:val="-1"/>
      <w:sz w:val="22"/>
      <w:szCs w:val="22"/>
      <w:u w:val="none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otnoteReference">
    <w:name w:val="Footnote Reference"/>
    <w:next w:val="FootnoteReference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character" w:styleId="EndnoteReference">
    <w:name w:val="Endnote Reference"/>
    <w:next w:val="EndnoteReference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paragraph" w:styleId="바탕글">
    <w:name w:val="바탕글"/>
    <w:next w:val="바탕글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Chars="-1" w:rightChars="0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본문">
    <w:name w:val="본문"/>
    <w:next w:val="본문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="300" w:leftChars="-1" w:rightChars="0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개요1">
    <w:name w:val="개요 1"/>
    <w:next w:val="개요1"/>
    <w:autoRedefine w:val="0"/>
    <w:hidden w:val="0"/>
    <w:qFormat w:val="0"/>
    <w:pPr>
      <w:widowControl w:val="0"/>
      <w:numPr>
        <w:ilvl w:val="0"/>
        <w:numId w:val="1"/>
      </w:numPr>
      <w:suppressAutoHyphens w:val="1"/>
      <w:autoSpaceDE w:val="0"/>
      <w:autoSpaceDN w:val="0"/>
      <w:spacing w:line="249" w:lineRule="auto"/>
      <w:ind w:left="200" w:leftChars="-1" w:rightChars="0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개요2">
    <w:name w:val="개요 2"/>
    <w:next w:val="개요2"/>
    <w:autoRedefine w:val="0"/>
    <w:hidden w:val="0"/>
    <w:qFormat w:val="0"/>
    <w:pPr>
      <w:widowControl w:val="0"/>
      <w:numPr>
        <w:ilvl w:val="1"/>
        <w:numId w:val="1"/>
      </w:numPr>
      <w:suppressAutoHyphens w:val="1"/>
      <w:autoSpaceDE w:val="0"/>
      <w:autoSpaceDN w:val="0"/>
      <w:spacing w:line="249" w:lineRule="auto"/>
      <w:ind w:left="400" w:leftChars="-1" w:rightChars="0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개요3">
    <w:name w:val="개요 3"/>
    <w:next w:val="개요3"/>
    <w:autoRedefine w:val="0"/>
    <w:hidden w:val="0"/>
    <w:qFormat w:val="0"/>
    <w:pPr>
      <w:widowControl w:val="0"/>
      <w:numPr>
        <w:ilvl w:val="2"/>
        <w:numId w:val="1"/>
      </w:numPr>
      <w:suppressAutoHyphens w:val="1"/>
      <w:autoSpaceDE w:val="0"/>
      <w:autoSpaceDN w:val="0"/>
      <w:spacing w:line="249" w:lineRule="auto"/>
      <w:ind w:left="600" w:leftChars="-1" w:rightChars="0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개요4">
    <w:name w:val="개요 4"/>
    <w:next w:val="개요4"/>
    <w:autoRedefine w:val="0"/>
    <w:hidden w:val="0"/>
    <w:qFormat w:val="0"/>
    <w:pPr>
      <w:widowControl w:val="0"/>
      <w:numPr>
        <w:ilvl w:val="3"/>
        <w:numId w:val="1"/>
      </w:numPr>
      <w:suppressAutoHyphens w:val="1"/>
      <w:autoSpaceDE w:val="0"/>
      <w:autoSpaceDN w:val="0"/>
      <w:spacing w:line="249" w:lineRule="auto"/>
      <w:ind w:left="800" w:leftChars="-1" w:rightChars="0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개요5">
    <w:name w:val="개요 5"/>
    <w:next w:val="개요5"/>
    <w:autoRedefine w:val="0"/>
    <w:hidden w:val="0"/>
    <w:qFormat w:val="0"/>
    <w:pPr>
      <w:widowControl w:val="0"/>
      <w:numPr>
        <w:ilvl w:val="4"/>
        <w:numId w:val="1"/>
      </w:numPr>
      <w:suppressAutoHyphens w:val="1"/>
      <w:autoSpaceDE w:val="0"/>
      <w:autoSpaceDN w:val="0"/>
      <w:spacing w:line="249" w:lineRule="auto"/>
      <w:ind w:left="1000" w:leftChars="-1" w:rightChars="0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개요6">
    <w:name w:val="개요 6"/>
    <w:next w:val="개요6"/>
    <w:autoRedefine w:val="0"/>
    <w:hidden w:val="0"/>
    <w:qFormat w:val="0"/>
    <w:pPr>
      <w:widowControl w:val="0"/>
      <w:numPr>
        <w:ilvl w:val="5"/>
        <w:numId w:val="1"/>
      </w:numPr>
      <w:suppressAutoHyphens w:val="1"/>
      <w:autoSpaceDE w:val="0"/>
      <w:autoSpaceDN w:val="0"/>
      <w:spacing w:line="249" w:lineRule="auto"/>
      <w:ind w:left="1200" w:leftChars="-1" w:rightChars="0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개요7">
    <w:name w:val="개요 7"/>
    <w:next w:val="개요7"/>
    <w:autoRedefine w:val="0"/>
    <w:hidden w:val="0"/>
    <w:qFormat w:val="0"/>
    <w:pPr>
      <w:widowControl w:val="0"/>
      <w:numPr>
        <w:ilvl w:val="6"/>
        <w:numId w:val="1"/>
      </w:numPr>
      <w:suppressAutoHyphens w:val="1"/>
      <w:autoSpaceDE w:val="0"/>
      <w:autoSpaceDN w:val="0"/>
      <w:spacing w:line="249" w:lineRule="auto"/>
      <w:ind w:left="1400" w:leftChars="-1" w:rightChars="0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개요8">
    <w:name w:val="개요 8"/>
    <w:next w:val="개요8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="1600" w:leftChars="-1" w:rightChars="0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개요9">
    <w:name w:val="개요 9"/>
    <w:next w:val="개요9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="1800" w:leftChars="-1" w:rightChars="0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개요10">
    <w:name w:val="개요 10"/>
    <w:next w:val="개요10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="2000" w:leftChars="-1" w:rightChars="0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u w:val="none"/>
      <w:effect w:val="none"/>
      <w:vertAlign w:val="baseline"/>
      <w:cs w:val="0"/>
      <w:em w:val="none"/>
      <w:lang w:bidi="ar-SA" w:eastAsia="en-US" w:val="en-US"/>
    </w:rPr>
  </w:style>
  <w:style w:type="character" w:styleId="쪽번호">
    <w:name w:val="쪽 번호"/>
    <w:next w:val="쪽번호"/>
    <w:autoRedefine w:val="0"/>
    <w:hidden w:val="0"/>
    <w:qFormat w:val="0"/>
    <w:rPr>
      <w:rFonts w:ascii="함초롬돋움" w:cs="함초롬돋움" w:eastAsia="함초롬돋움" w:hAnsi="Arial Unicode MS"/>
      <w:color w:val="000000"/>
      <w:spacing w:val="0"/>
      <w:w w:val="100"/>
      <w:position w:val="0"/>
      <w:sz w:val="20"/>
      <w:szCs w:val="20"/>
      <w:effect w:val="none"/>
      <w:shd w:color="auto" w:fill="auto" w:val="clear"/>
      <w:vertAlign w:val="baseline"/>
      <w:cs w:val="0"/>
      <w:em w:val="none"/>
      <w:lang/>
    </w:rPr>
  </w:style>
  <w:style w:type="paragraph" w:styleId="머리말">
    <w:name w:val="머리말"/>
    <w:next w:val="머리말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맑은 고딕" w:cs="함초롬돋움" w:eastAsia="맑은 고딕" w:hAnsi="맑은 고딕"/>
      <w:color w:val="000000"/>
      <w:w w:val="100"/>
      <w:position w:val="-1"/>
      <w:sz w:val="18"/>
      <w:szCs w:val="18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각주">
    <w:name w:val="각주"/>
    <w:next w:val="각주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262" w:leftChars="-1" w:rightChars="0" w:hanging="262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sz w:val="18"/>
      <w:szCs w:val="18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미주">
    <w:name w:val="미주"/>
    <w:next w:val="미주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262" w:leftChars="-1" w:rightChars="0" w:hanging="262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sz w:val="18"/>
      <w:szCs w:val="18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메모">
    <w:name w:val="메모"/>
    <w:next w:val="메모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맑은 고딕" w:cs="함초롬돋움" w:eastAsia="맑은 고딕" w:hAnsi="맑은 고딕"/>
      <w:color w:val="000000"/>
      <w:spacing w:val="-4"/>
      <w:w w:val="100"/>
      <w:position w:val="-1"/>
      <w:sz w:val="18"/>
      <w:szCs w:val="18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차례제목">
    <w:name w:val="차례 제목"/>
    <w:next w:val="차례제목"/>
    <w:autoRedefine w:val="0"/>
    <w:hidden w:val="0"/>
    <w:qFormat w:val="0"/>
    <w:pPr>
      <w:widowControl w:val="0"/>
      <w:suppressAutoHyphens w:val="1"/>
      <w:autoSpaceDE w:val="0"/>
      <w:autoSpaceDN w:val="0"/>
      <w:spacing w:after="60" w:before="240" w:line="249" w:lineRule="auto"/>
      <w:ind w:leftChars="-1" w:rightChars="0" w:firstLineChars="-1"/>
      <w:textDirection w:val="btLr"/>
      <w:textAlignment w:val="top"/>
      <w:outlineLvl w:val="0"/>
    </w:pPr>
    <w:rPr>
      <w:rFonts w:ascii="맑은 고딕" w:cs="함초롬돋움" w:eastAsia="맑은 고딕" w:hAnsi="맑은 고딕"/>
      <w:color w:val="000000"/>
      <w:w w:val="100"/>
      <w:position w:val="-1"/>
      <w:sz w:val="32"/>
      <w:szCs w:val="32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차례1">
    <w:name w:val="차례 1"/>
    <w:next w:val="차례1"/>
    <w:autoRedefine w:val="0"/>
    <w:hidden w:val="0"/>
    <w:qFormat w:val="0"/>
    <w:pPr>
      <w:widowControl w:val="0"/>
      <w:suppressAutoHyphens w:val="1"/>
      <w:autoSpaceDE w:val="0"/>
      <w:autoSpaceDN w:val="0"/>
      <w:spacing w:after="140" w:line="249" w:lineRule="auto"/>
      <w:ind w:leftChars="-1" w:rightChars="0" w:firstLineChars="-1"/>
      <w:textDirection w:val="btLr"/>
      <w:textAlignment w:val="top"/>
      <w:outlineLvl w:val="0"/>
    </w:pPr>
    <w:rPr>
      <w:rFonts w:ascii="맑은 고딕" w:cs="함초롬돋움" w:eastAsia="맑은 고딕" w:hAnsi="맑은 고딕"/>
      <w:color w:val="000000"/>
      <w:w w:val="100"/>
      <w:position w:val="-1"/>
      <w:sz w:val="22"/>
      <w:szCs w:val="22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차례2">
    <w:name w:val="차례 2"/>
    <w:next w:val="차례2"/>
    <w:autoRedefine w:val="0"/>
    <w:hidden w:val="0"/>
    <w:qFormat w:val="0"/>
    <w:pPr>
      <w:widowControl w:val="0"/>
      <w:suppressAutoHyphens w:val="1"/>
      <w:autoSpaceDE w:val="0"/>
      <w:autoSpaceDN w:val="0"/>
      <w:spacing w:after="140" w:line="249" w:lineRule="auto"/>
      <w:ind w:left="220" w:leftChars="-1" w:rightChars="0" w:firstLineChars="-1"/>
      <w:textDirection w:val="btLr"/>
      <w:textAlignment w:val="top"/>
      <w:outlineLvl w:val="0"/>
    </w:pPr>
    <w:rPr>
      <w:rFonts w:ascii="맑은 고딕" w:cs="함초롬돋움" w:eastAsia="맑은 고딕" w:hAnsi="맑은 고딕"/>
      <w:color w:val="000000"/>
      <w:w w:val="100"/>
      <w:position w:val="-1"/>
      <w:sz w:val="22"/>
      <w:szCs w:val="22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차례3">
    <w:name w:val="차례 3"/>
    <w:next w:val="차례3"/>
    <w:autoRedefine w:val="0"/>
    <w:hidden w:val="0"/>
    <w:qFormat w:val="0"/>
    <w:pPr>
      <w:widowControl w:val="0"/>
      <w:suppressAutoHyphens w:val="1"/>
      <w:autoSpaceDE w:val="0"/>
      <w:autoSpaceDN w:val="0"/>
      <w:spacing w:after="140" w:line="249" w:lineRule="auto"/>
      <w:ind w:left="440" w:leftChars="-1" w:rightChars="0" w:firstLineChars="-1"/>
      <w:textDirection w:val="btLr"/>
      <w:textAlignment w:val="top"/>
      <w:outlineLvl w:val="0"/>
    </w:pPr>
    <w:rPr>
      <w:rFonts w:ascii="맑은 고딕" w:cs="함초롬돋움" w:eastAsia="맑은 고딕" w:hAnsi="맑은 고딕"/>
      <w:color w:val="000000"/>
      <w:w w:val="100"/>
      <w:position w:val="-1"/>
      <w:sz w:val="22"/>
      <w:szCs w:val="22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캡션">
    <w:name w:val="캡션"/>
    <w:next w:val="캡션"/>
    <w:autoRedefine w:val="0"/>
    <w:hidden w:val="0"/>
    <w:qFormat w:val="0"/>
    <w:pPr>
      <w:widowControl w:val="0"/>
      <w:suppressAutoHyphens w:val="1"/>
      <w:autoSpaceDE w:val="0"/>
      <w:autoSpaceDN w:val="0"/>
      <w:spacing w:after="16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맑은 고딕" w:cs="함초롬바탕" w:eastAsia="맑은 고딕" w:hAnsi="맑은 고딕"/>
      <w:color w:val="000000"/>
      <w:w w:val="100"/>
      <w:position w:val="-1"/>
      <w:u w:val="none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맑은 고딕" w:cs="Georgia" w:eastAsia="맑은 고딕" w:hAnsi="맑은 고딕"/>
      <w:i w:val="1"/>
      <w:iCs w:val="1"/>
      <w:color w:val="000000"/>
      <w:sz w:val="48"/>
      <w:szCs w:val="48"/>
      <w:u w:val="non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github.com/jgi0117/2team_project/" TargetMode="External"/><Relationship Id="rId17" Type="http://schemas.openxmlformats.org/officeDocument/2006/relationships/hyperlink" Target="https://app.notion.com/p/b341b73c3c2c83dbb5f881416dde892b" TargetMode="External"/><Relationship Id="rId18" Type="http://schemas.openxmlformats.org/officeDocument/2006/relationships/hyperlink" Target="https://www.figma.com/board/PuqheuS6niVBSaO4KkyHLC/LSJUMPUP_2TEAM_PROJECT?node-id=199-131&amp;t=NLS4bfdBDNAwdPLK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0UDhMAB750ftW9GnEUQDM1mXA==">CgMxLjA4AHIhMUFuM2NHaEh4Sm0wWHJ2VnEyVFAzcHhHSF9GRUpBZG13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2026-09-01T00:24:00Z</dcterms:created>
  <dc:creator>김경제</dc:creator>
  <dc:title>설비 고장 예측 기반 정비 의사결정 지원 시스템 포트폴리오</dc:title>
  <dc:subject>데이터 구축 및 EDA 중심 프로젝트 포트폴리오</dc:subject>
  <cp:keywords>예지보전, 데이터 분석, EDA, LightGBM, Isolation Forest</cp:keywords>
  <dc:description/>
</cp:coreProperties>
</file>