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DOCUMENT — NOT A REAL RECORD — NOT FOR COURT USE</w:t>
      </w:r>
    </w:p>
    <w:p>
      <w:r>
        <w:t>FICTIONAL EXAMPLE TRIBUNAL — TEST-CASE-001</w:t>
      </w:r>
    </w:p>
    <w:p>
      <w:r>
        <w:t>Party allegation (paragraph 1): Example Person alleges a test transfer was omitted.</w:t>
      </w:r>
    </w:p>
    <w:p>
      <w:r>
        <w:t>Opposing-party allegation (paragraph 2): Example Respondent disputes that allegation.</w:t>
      </w:r>
    </w:p>
    <w:p>
      <w:r>
        <w:t>Court finding (paragraph 3): The court finds only that the synthetic account exists for testing.</w:t>
      </w:r>
    </w:p>
    <w:p>
      <w:r>
        <w:t>Ordered action (paragraph 4): It is ordered that Example Person shall preserve the synthetic records.</w:t>
      </w:r>
    </w:p>
    <w:p>
      <w:r>
        <w:t>Effective date: 2026-04-01</w:t>
      </w:r>
    </w:p>
    <w:p>
      <w:r>
        <w:t>Judge label: Example Judge — FICTIONAL</w:t>
      </w:r>
    </w:p>
  </w:body>
</w:document>
</file>