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A5FC8"/>
          <w:sz w:val="22"/>
          <w:szCs w:val="22"/>
        </w:rPr>
        <w:t xml:space="preserve">Would You Please</w:t>
      </w:r>
    </w:p>
    <w:p>
      <w:pPr>
        <w:spacing w:after="40"/>
        <w:jc w:val="center"/>
      </w:pPr>
      <w:r>
        <w:rPr>
          <w:b/>
          <w:bCs/>
          <w:color w:val="1A1A1A"/>
          <w:sz w:val="40"/>
          <w:szCs w:val="40"/>
        </w:rPr>
        <w:t xml:space="preserve">Admin Statistics Specification</w:t>
      </w:r>
    </w:p>
    <w:p>
      <w:pPr>
        <w:spacing w:after="360"/>
        <w:jc w:val="center"/>
      </w:pPr>
      <w:r>
        <w:rPr>
          <w:color w:val="5B6472"/>
          <w:sz w:val="22"/>
          <w:szCs w:val="22"/>
        </w:rPr>
        <w:t xml:space="preserve">v1.1  ·  2026-09-12</w:t>
      </w:r>
    </w:p>
    <w:p>
      <w:pPr>
        <w:spacing w:after="160"/>
      </w:pPr>
      <w:r>
        <w:rPr>
          <w:b w:val="false"/>
          <w:bCs w:val="false"/>
          <w:i w:val="false"/>
          <w:iCs w:val="false"/>
          <w:color w:val="1A1A1A"/>
          <w:sz w:val="21"/>
          <w:szCs w:val="21"/>
        </w:rPr>
        <w:t xml:space="preserve">Companion to the PRD and UI Design Specification, covering the admin-only Statistics tooling reached from Housekeeping → Statistics (visible only when the signed-in profile's is_admin flag is true). These screens are internal business/accounting tooling for the product owner, not part of the customer-facing product, and are documented here rather than in the customer UI spec. This document fully specifies Sum and Averages and lists the four existing Activity screens as build references pending their own full specification in a future revision. v1.1 additionally records screen-wide behavior changes made to all four Activity screens after v1.0 — see Section 3.</w:t>
      </w:r>
    </w:p>
    <w:p>
      <w:pPr>
        <w:pStyle w:val="Heading1"/>
        <w:spacing w:after="160" w:before="360"/>
      </w:pPr>
      <w:r>
        <w:rPr>
          <w:b/>
          <w:bCs/>
          <w:color w:val="2A5FC8"/>
          <w:sz w:val="30"/>
          <w:szCs w:val="30"/>
        </w:rPr>
        <w:t xml:space="preserve">1. Overview</w:t>
      </w:r>
    </w:p>
    <w:p>
      <w:pPr>
        <w:spacing w:after="160"/>
      </w:pPr>
      <w:r>
        <w:rPr>
          <w:b w:val="false"/>
          <w:bCs w:val="false"/>
          <w:i w:val="false"/>
          <w:iCs w:val="false"/>
          <w:color w:val="1A1A1A"/>
          <w:sz w:val="21"/>
          <w:szCs w:val="21"/>
        </w:rPr>
        <w:t xml:space="preserve">Purpose: give the product owner visibility into product-wide and per-account activity and volume — usage trends today, and a foundation for business/accounting reporting needs as they arise over time.</w:t>
      </w:r>
    </w:p>
    <w:p>
      <w:pPr>
        <w:spacing w:after="160"/>
      </w:pPr>
      <w:r>
        <w:rPr>
          <w:b w:val="false"/>
          <w:bCs w:val="false"/>
          <w:i w:val="false"/>
          <w:iCs w:val="false"/>
          <w:color w:val="1A1A1A"/>
          <w:sz w:val="21"/>
          <w:szCs w:val="21"/>
        </w:rPr>
        <w:t xml:space="preserve">Access: a third Housekeeping chip, Statistics, rendered only when the signed-in profile's is_admin is true, listing five rows that route to /admin/stats/*. The chip is UX-only — every admin RPC independently re-checks is_admin.</w:t>
      </w:r>
    </w:p>
    <w:p>
      <w:pPr>
        <w:spacing w:after="160"/>
      </w:pPr>
      <w:r>
        <w:rPr>
          <w:b w:val="false"/>
          <w:bCs w:val="false"/>
          <w:i w:val="false"/>
          <w:iCs w:val="false"/>
          <w:color w:val="1A1A1A"/>
          <w:sz w:val="21"/>
          <w:szCs w:val="21"/>
        </w:rPr>
        <w:t xml:space="preserve">Screens:</w:t>
      </w:r>
    </w:p>
    <w:p>
      <w:pPr>
        <w:pStyle w:val="ListParagraph"/>
        <w:numPr>
          <w:ilvl w:val="0"/>
          <w:numId w:val="1"/>
        </w:numPr>
        <w:spacing w:after="80"/>
        <w:ind w:left="360"/>
      </w:pPr>
      <w:r>
        <w:rPr>
          <w:color w:val="1A1A1A"/>
          <w:sz w:val="21"/>
          <w:szCs w:val="21"/>
        </w:rPr>
        <w:t xml:space="preserve">Accounts — Activity — new/free/subscribed accounts per period.</w:t>
      </w:r>
    </w:p>
    <w:p>
      <w:pPr>
        <w:pStyle w:val="ListParagraph"/>
        <w:numPr>
          <w:ilvl w:val="0"/>
          <w:numId w:val="1"/>
        </w:numPr>
        <w:spacing w:after="80"/>
        <w:ind w:left="360"/>
      </w:pPr>
      <w:r>
        <w:rPr>
          <w:color w:val="1A1A1A"/>
          <w:sz w:val="21"/>
          <w:szCs w:val="21"/>
        </w:rPr>
        <w:t xml:space="preserve">Contacts — Activity — contacts added/deleted per period.</w:t>
      </w:r>
    </w:p>
    <w:p>
      <w:pPr>
        <w:pStyle w:val="ListParagraph"/>
        <w:numPr>
          <w:ilvl w:val="0"/>
          <w:numId w:val="1"/>
        </w:numPr>
        <w:spacing w:after="80"/>
        <w:ind w:left="360"/>
      </w:pPr>
      <w:r>
        <w:rPr>
          <w:color w:val="1A1A1A"/>
          <w:sz w:val="21"/>
          <w:szCs w:val="21"/>
        </w:rPr>
        <w:t xml:space="preserve">Requests — Activity — Sent/Received activity per period (Created, Changed, Done, Attachments, Dialog; Deleted/Archived/Unarchived on Sent only).</w:t>
      </w:r>
    </w:p>
    <w:p>
      <w:pPr>
        <w:pStyle w:val="ListParagraph"/>
        <w:numPr>
          <w:ilvl w:val="0"/>
          <w:numId w:val="1"/>
        </w:numPr>
        <w:spacing w:after="80"/>
        <w:ind w:left="360"/>
      </w:pPr>
      <w:r>
        <w:rPr>
          <w:color w:val="1A1A1A"/>
          <w:sz w:val="21"/>
          <w:szCs w:val="21"/>
        </w:rPr>
        <w:t xml:space="preserve">ToDos — Activity — ToDo activity per period.</w:t>
      </w:r>
    </w:p>
    <w:p>
      <w:pPr>
        <w:pStyle w:val="ListParagraph"/>
        <w:numPr>
          <w:ilvl w:val="0"/>
          <w:numId w:val="1"/>
        </w:numPr>
        <w:spacing w:after="80"/>
        <w:ind w:left="360"/>
      </w:pPr>
      <w:r>
        <w:rPr>
          <w:color w:val="1A1A1A"/>
          <w:sz w:val="21"/>
          <w:szCs w:val="21"/>
        </w:rPr>
        <w:t xml:space="preserve">Sum and Averages — a point-in-time (“as of” date) snapshot across every entity, fully specified in Section 2 below.</w:t>
      </w:r>
    </w:p>
    <w:p>
      <w:pPr>
        <w:spacing w:after="160"/>
      </w:pPr>
      <w:r>
        <w:rPr>
          <w:b w:val="false"/>
          <w:bCs w:val="false"/>
          <w:i w:val="false"/>
          <w:iCs w:val="false"/>
          <w:color w:val="1A1A1A"/>
          <w:sz w:val="21"/>
          <w:szCs w:val="21"/>
        </w:rPr>
        <w:t xml:space="preserve">Shared conventions across all five screens:</w:t>
      </w:r>
    </w:p>
    <w:p>
      <w:pPr>
        <w:pStyle w:val="ListParagraph"/>
        <w:numPr>
          <w:ilvl w:val="0"/>
          <w:numId w:val="1"/>
        </w:numPr>
        <w:spacing w:after="80"/>
        <w:ind w:left="360"/>
      </w:pPr>
      <w:r>
        <w:rPr>
          <w:color w:val="1A1A1A"/>
          <w:sz w:val="21"/>
          <w:szCs w:val="21"/>
        </w:rPr>
        <w:t xml:space="preserve">Cohort filter: All accounts / Beta allowlist / Specific account (via admin_list_profiles()) / Free accounts / Subscribed accounts. Accounts — Activity narrows this to All accounts / Beta allowlist only, since its own subject is new-account volume.</w:t>
      </w:r>
    </w:p>
    <w:p>
      <w:pPr>
        <w:pStyle w:val="ListParagraph"/>
        <w:numPr>
          <w:ilvl w:val="0"/>
          <w:numId w:val="1"/>
        </w:numPr>
        <w:spacing w:after="80"/>
        <w:ind w:left="360"/>
      </w:pPr>
      <w:r>
        <w:rPr>
          <w:color w:val="1A1A1A"/>
          <w:sz w:val="21"/>
          <w:szCs w:val="21"/>
        </w:rPr>
        <w:t xml:space="preserve">Every screen has a Print button (table-only output) and an Export .xlsx button (one workbook per screen, mirroring exactly what is on screen).</w:t>
      </w:r>
    </w:p>
    <w:p>
      <w:pPr>
        <w:pStyle w:val="ListParagraph"/>
        <w:numPr>
          <w:ilvl w:val="0"/>
          <w:numId w:val="1"/>
        </w:numPr>
        <w:spacing w:after="80"/>
        <w:ind w:left="360"/>
      </w:pPr>
      <w:r>
        <w:rPr>
          <w:color w:val="1A1A1A"/>
          <w:sz w:val="21"/>
          <w:szCs w:val="21"/>
        </w:rPr>
        <w:t xml:space="preserve">Hard deletes (Contacts, Requests/ToDos, individual Attachments) mean current-table-state alone would undercount what has since been removed; Added/Deleted/Changed/Done/Archived/Unarchived/Attachments-added figures are read from an events log to avoid that. Dialog has no delete path anywhere in the app, so it is read directly from its own table.</w:t>
      </w:r>
    </w:p>
    <w:p>
      <w:pPr>
        <w:spacing w:after="120"/>
      </w:pPr>
      <w:r>
        <w:rPr>
          <w:b/>
          <w:bCs/>
          <w:color w:val="5B6472"/>
          <w:sz w:val="20"/>
          <w:szCs w:val="20"/>
        </w:rPr>
        <w:t xml:space="preserve">Reference: </w:t>
      </w:r>
      <w:r>
        <w:rPr>
          <w:color w:val="5B6472"/>
          <w:sz w:val="20"/>
          <w:szCs w:val="20"/>
        </w:rPr>
        <w:t xml:space="preserve">the four Activity screens were unchanged by v1.0; see Section 3 for the 2026-09-12 changes v1.1 records. Original build detail lives in wyp_decisions_log.md (2026-09-07 entries, migrations 053–064).</w:t>
      </w:r>
    </w:p>
    <w:p>
      <w:pPr>
        <w:pBdr>
          <w:bottom w:val="single" w:color="D7DEE9" w:sz="6" w:space="4"/>
        </w:pBdr>
        <w:spacing w:after="200" w:before="120"/>
      </w:pPr>
      <w:r>
        <w:t xml:space="preserve"/>
      </w:r>
    </w:p>
    <w:p>
      <w:pPr>
        <w:pStyle w:val="Heading1"/>
        <w:spacing w:after="160" w:before="360"/>
      </w:pPr>
      <w:r>
        <w:rPr>
          <w:b/>
          <w:bCs/>
          <w:color w:val="2A5FC8"/>
          <w:sz w:val="30"/>
          <w:szCs w:val="30"/>
        </w:rPr>
        <w:t xml:space="preserve">2. Sum and Averages</w:t>
      </w:r>
    </w:p>
    <w:p>
      <w:pPr>
        <w:spacing w:after="200"/>
      </w:pPr>
      <w:r>
        <w:rPr>
          <w:b/>
          <w:bCs/>
          <w:color w:val="5B6472"/>
          <w:sz w:val="21"/>
          <w:szCs w:val="21"/>
        </w:rPr>
        <w:t xml:space="preserve">Status: </w:t>
      </w:r>
      <w:r>
        <w:rPr>
          <w:i/>
          <w:iCs/>
          <w:color w:val="5B6472"/>
          <w:sz w:val="21"/>
          <w:szCs w:val="21"/>
        </w:rPr>
        <w:t xml:space="preserve">redesigned in this specification (v1.0) — replaces the original stat-tile layout; not yet built.</w:t>
      </w:r>
    </w:p>
    <w:p>
      <w:pPr>
        <w:pStyle w:val="Heading2"/>
        <w:spacing w:after="120" w:before="280"/>
      </w:pPr>
      <w:r>
        <w:rPr>
          <w:b/>
          <w:bCs/>
          <w:color w:val="1A1A1A"/>
          <w:sz w:val="24"/>
          <w:szCs w:val="24"/>
        </w:rPr>
        <w:t xml:space="preserve">2.1 Purpose</w:t>
      </w:r>
    </w:p>
    <w:p>
      <w:pPr>
        <w:spacing w:after="160"/>
      </w:pPr>
      <w:r>
        <w:rPr>
          <w:b w:val="false"/>
          <w:bCs w:val="false"/>
          <w:i w:val="false"/>
          <w:iCs w:val="false"/>
          <w:color w:val="1A1A1A"/>
          <w:sz w:val="21"/>
          <w:szCs w:val="21"/>
        </w:rPr>
        <w:t xml:space="preserve">A single point-in-time snapshot of the whole product — or a chosen cohort of it — as of a chosen date, rather than an activity trend over a range. Answers “where do things stand,” not “what happened this month.”</w:t>
      </w:r>
    </w:p>
    <w:p>
      <w:pPr>
        <w:pStyle w:val="Heading2"/>
        <w:spacing w:after="120" w:before="280"/>
      </w:pPr>
      <w:r>
        <w:rPr>
          <w:b/>
          <w:bCs/>
          <w:color w:val="1A1A1A"/>
          <w:sz w:val="24"/>
          <w:szCs w:val="24"/>
        </w:rPr>
        <w:t xml:space="preserve">2.2 Layout and scroll behavior</w:t>
      </w:r>
    </w:p>
    <w:p>
      <w:pPr>
        <w:spacing w:after="160"/>
      </w:pPr>
      <w:r>
        <w:rPr>
          <w:b w:val="false"/>
          <w:bCs w:val="false"/>
          <w:i w:val="false"/>
          <w:iCs w:val="false"/>
          <w:color w:val="1A1A1A"/>
          <w:sz w:val="21"/>
          <w:szCs w:val="21"/>
        </w:rPr>
        <w:t xml:space="preserve">The screen carries two stacked totals tables (Entities, §2.3; Volume, §2.4) followed by the per-account Roster (§2.5). Each table has a narrow identifying column locked in place on the left (row labels for the totals tables; Account for the Roster) with every other column in one horizontally scrolling region to its right — the same overflow-x: auto convention already used elsewhere in this screen family, with the locked column pinned via position: sticky rather than a new mechanism. This replaces the original KPI stat-tile block.</w:t>
      </w:r>
    </w:p>
    <w:p>
      <w:pPr>
        <w:pStyle w:val="Heading2"/>
        <w:spacing w:after="120" w:before="280"/>
      </w:pPr>
      <w:r>
        <w:rPr>
          <w:b/>
          <w:bCs/>
          <w:color w:val="1A1A1A"/>
          <w:sz w:val="24"/>
          <w:szCs w:val="24"/>
        </w:rPr>
        <w:t xml:space="preserve">2.3 Entities table</w:t>
      </w:r>
    </w:p>
    <w:p>
      <w:pPr>
        <w:spacing w:after="160"/>
      </w:pPr>
      <w:r>
        <w:rPr>
          <w:b w:val="false"/>
          <w:bCs w:val="false"/>
          <w:i w:val="false"/>
          <w:iCs w:val="false"/>
          <w:color w:val="1A1A1A"/>
          <w:sz w:val="21"/>
          <w:szCs w:val="21"/>
        </w:rPr>
        <w:t xml:space="preserve">Rows: Accounts, Contacts, Req's Sent, Req's Received, ToDos. Columns: Count Total, Avg Descr char's, Open %, Overdue %, Done %, Archived %.</w:t>
      </w:r>
    </w:p>
    <w:tbl>
      <w:tblPr>
        <w:tblW w:type="dxa" w:w="9100"/>
        <w:tblBorders>
          <w:top w:val="single" w:color="D7DEE9" w:sz="4"/>
          <w:left w:val="single" w:color="D7DEE9" w:sz="4"/>
          <w:bottom w:val="single" w:color="D7DEE9" w:sz="4"/>
          <w:right w:val="single" w:color="D7DEE9" w:sz="4"/>
          <w:insideH w:val="single" w:color="D7DEE9" w:sz="4"/>
          <w:insideV w:val="single" w:color="D7DEE9" w:sz="4"/>
        </w:tblBorders>
      </w:tblPr>
      <w:tblGrid>
        <w:gridCol w:w="1600"/>
        <w:gridCol w:w="1500"/>
        <w:gridCol w:w="1700"/>
        <w:gridCol w:w="1000"/>
        <w:gridCol w:w="1150"/>
        <w:gridCol w:w="1000"/>
        <w:gridCol w:w="1150"/>
      </w:tblGrid>
      <w:tr>
        <w:tc>
          <w:tcPr>
            <w:tcW w:type="dxa" w:w="1000"/>
            <w:shd w:fill="E5ECF7" w:val="clear"/>
            <w:tcMar>
              <w:top w:type="dxa" w:w="80"/>
              <w:left w:type="dxa" w:w="100"/>
              <w:bottom w:type="dxa" w:w="80"/>
              <w:right w:type="dxa" w:w="100"/>
            </w:tcMar>
            <w:vAlign w:val="center"/>
          </w:tcPr>
          <w:p>
            <w:pPr>
              <w:jc w:val="left"/>
            </w:pPr>
            <w:r>
              <w:rPr>
                <w:b/>
                <w:bCs/>
                <w:i w:val="false"/>
                <w:iCs w:val="false"/>
                <w:color w:val="2A5FC8"/>
                <w:sz w:val="19"/>
                <w:szCs w:val="19"/>
              </w:rPr>
              <w:t xml:space="preserve"/>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Count Total</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Avg Descr char's</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Open</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Overdue</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Done</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Archived</w:t>
            </w:r>
          </w:p>
        </w:tc>
      </w:tr>
      <w:tr>
        <w:tc>
          <w:tcPr>
            <w:tcW w:type="dxa" w:w="1000"/>
            <w:tcMar>
              <w:top w:type="dxa" w:w="80"/>
              <w:left w:type="dxa" w:w="100"/>
              <w:bottom w:type="dxa" w:w="80"/>
              <w:right w:type="dxa" w:w="100"/>
            </w:tcMar>
            <w:vAlign w:val="center"/>
          </w:tcPr>
          <w:p>
            <w:pPr>
              <w:jc w:val="left"/>
            </w:pPr>
            <w:r>
              <w:rPr>
                <w:b/>
                <w:bCs/>
                <w:i w:val="false"/>
                <w:iCs w:val="false"/>
                <w:color w:val="1A1A1A"/>
                <w:sz w:val="19"/>
                <w:szCs w:val="19"/>
              </w:rPr>
              <w:t xml:space="preserve">Accounts</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r>
      <w:tr>
        <w:tc>
          <w:tcPr>
            <w:tcW w:type="dxa" w:w="1000"/>
            <w:shd w:fill="F4F7FC" w:val="clear"/>
            <w:tcMar>
              <w:top w:type="dxa" w:w="80"/>
              <w:left w:type="dxa" w:w="100"/>
              <w:bottom w:type="dxa" w:w="80"/>
              <w:right w:type="dxa" w:w="100"/>
            </w:tcMar>
            <w:vAlign w:val="center"/>
          </w:tcPr>
          <w:p>
            <w:pPr>
              <w:jc w:val="left"/>
            </w:pPr>
            <w:r>
              <w:rPr>
                <w:b/>
                <w:bCs/>
                <w:i w:val="false"/>
                <w:iCs w:val="false"/>
                <w:color w:val="1A1A1A"/>
                <w:sz w:val="19"/>
                <w:szCs w:val="19"/>
              </w:rPr>
              <w:t xml:space="preserve">Contacts</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5B6472"/>
                <w:sz w:val="19"/>
                <w:szCs w:val="19"/>
              </w:rPr>
              <w:t xml:space="preserve">—</w:t>
            </w:r>
          </w:p>
        </w:tc>
      </w:tr>
      <w:tr>
        <w:tc>
          <w:tcPr>
            <w:tcW w:type="dxa" w:w="1000"/>
            <w:tcMar>
              <w:top w:type="dxa" w:w="80"/>
              <w:left w:type="dxa" w:w="100"/>
              <w:bottom w:type="dxa" w:w="80"/>
              <w:right w:type="dxa" w:w="100"/>
            </w:tcMar>
            <w:vAlign w:val="center"/>
          </w:tcPr>
          <w:p>
            <w:pPr>
              <w:jc w:val="left"/>
            </w:pPr>
            <w:r>
              <w:rPr>
                <w:b/>
                <w:bCs/>
                <w:i w:val="false"/>
                <w:iCs w:val="false"/>
                <w:color w:val="1A1A1A"/>
                <w:sz w:val="19"/>
                <w:szCs w:val="19"/>
              </w:rPr>
              <w:t xml:space="preserve">Req's Sent</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20%</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5%</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45%</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30%</w:t>
            </w:r>
          </w:p>
        </w:tc>
      </w:tr>
      <w:tr>
        <w:tc>
          <w:tcPr>
            <w:tcW w:type="dxa" w:w="1000"/>
            <w:shd w:fill="F4F7FC" w:val="clear"/>
            <w:tcMar>
              <w:top w:type="dxa" w:w="80"/>
              <w:left w:type="dxa" w:w="100"/>
              <w:bottom w:type="dxa" w:w="80"/>
              <w:right w:type="dxa" w:w="100"/>
            </w:tcMar>
            <w:vAlign w:val="center"/>
          </w:tcPr>
          <w:p>
            <w:pPr>
              <w:jc w:val="left"/>
            </w:pPr>
            <w:r>
              <w:rPr>
                <w:b/>
                <w:bCs/>
                <w:i w:val="false"/>
                <w:iCs w:val="false"/>
                <w:color w:val="1A1A1A"/>
                <w:sz w:val="19"/>
                <w:szCs w:val="19"/>
              </w:rPr>
              <w:t xml:space="preserve">Req's Received</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15%</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3%</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66%</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14%</w:t>
            </w:r>
          </w:p>
        </w:tc>
      </w:tr>
      <w:tr>
        <w:tc>
          <w:tcPr>
            <w:tcW w:type="dxa" w:w="1000"/>
            <w:tcMar>
              <w:top w:type="dxa" w:w="80"/>
              <w:left w:type="dxa" w:w="100"/>
              <w:bottom w:type="dxa" w:w="80"/>
              <w:right w:type="dxa" w:w="100"/>
            </w:tcMar>
            <w:vAlign w:val="center"/>
          </w:tcPr>
          <w:p>
            <w:pPr>
              <w:jc w:val="left"/>
            </w:pPr>
            <w:r>
              <w:rPr>
                <w:b/>
                <w:bCs/>
                <w:i w:val="false"/>
                <w:iCs w:val="false"/>
                <w:color w:val="1A1A1A"/>
                <w:sz w:val="19"/>
                <w:szCs w:val="19"/>
              </w:rPr>
              <w:t xml:space="preserve">ToDos</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10%</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0%</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60%</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30%</w:t>
            </w:r>
          </w:p>
        </w:tc>
      </w:tr>
    </w:tbl>
    <w:p>
      <w:pPr>
        <w:spacing w:after="160"/>
      </w:pPr>
      <w:r>
        <w:rPr>
          <w:b w:val="false"/>
          <w:bCs w:val="false"/>
          <w:i/>
          <w:iCs/>
          <w:color w:val="1A1A1A"/>
          <w:sz w:val="21"/>
          <w:szCs w:val="21"/>
        </w:rPr>
        <w:t xml:space="preserve">(Figures above illustrate layout only; — marks a cell that does not apply.)</w:t>
      </w:r>
    </w:p>
    <w:p>
      <w:pPr>
        <w:spacing w:after="160"/>
      </w:pPr>
      <w:r>
        <w:rPr>
          <w:b w:val="false"/>
          <w:bCs w:val="false"/>
          <w:i w:val="false"/>
          <w:iCs w:val="false"/>
          <w:color w:val="1A1A1A"/>
          <w:sz w:val="21"/>
          <w:szCs w:val="21"/>
        </w:rPr>
        <w:t xml:space="preserve">Applicability: Avg Descr char's and the four status percentages apply only to Req's Sent, Req's Received, and ToDos — the three entities that carry a Description and a Status. Accounts and Contacts show an em dash in every column except Count Total, since neither has a description or a status to report.</w:t>
      </w:r>
    </w:p>
    <w:p>
      <w:pPr>
        <w:spacing w:after="160"/>
      </w:pPr>
      <w:r>
        <w:rPr>
          <w:b w:val="false"/>
          <w:bCs w:val="false"/>
          <w:i w:val="false"/>
          <w:iCs w:val="false"/>
          <w:color w:val="1A1A1A"/>
          <w:sz w:val="21"/>
          <w:szCs w:val="21"/>
        </w:rPr>
        <w:t xml:space="preserve">Percentages: each of Open/Overdue/Done/Archived is rounded to the nearest whole percent. Rounding can occasionally make a row's four percentages total 99% or 101%; this is expected and not corrected.</w:t>
      </w:r>
    </w:p>
    <w:p>
      <w:pPr>
        <w:spacing w:after="160"/>
      </w:pPr>
      <w:r>
        <w:rPr>
          <w:b w:val="false"/>
          <w:bCs w:val="false"/>
          <w:i w:val="false"/>
          <w:iCs w:val="false"/>
          <w:color w:val="1A1A1A"/>
          <w:sz w:val="21"/>
          <w:szCs w:val="21"/>
        </w:rPr>
        <w:t xml:space="preserve">Overdue: reconstructed accurately for a past “as of” date from due_date (Req's Sent, Req's Received, and ToDos alike), but evaluated as Overdue only when “as of” is today — the same permanent limitation already documented for this screen and the Activity screens. ToDos are included in the Overdue column on the same basis as Requests, matching the app's actual behavior since ToDos gained a real Overdue state (wyp_decisions_log.md, 2026-08-12); the PRD §3.4 and UI spec §6.2 wording that still says “Overdue does not apply to ToDos” is a separate, already-flagged documentation correction, tracked outside this document.</w:t>
      </w:r>
    </w:p>
    <w:p>
      <w:pPr>
        <w:pStyle w:val="Heading2"/>
        <w:spacing w:after="120" w:before="280"/>
      </w:pPr>
      <w:r>
        <w:rPr>
          <w:b/>
          <w:bCs/>
          <w:color w:val="1A1A1A"/>
          <w:sz w:val="24"/>
          <w:szCs w:val="24"/>
        </w:rPr>
        <w:t xml:space="preserve">2.4 Volume table</w:t>
      </w:r>
    </w:p>
    <w:p>
      <w:pPr>
        <w:spacing w:after="160"/>
      </w:pPr>
      <w:r>
        <w:rPr>
          <w:b w:val="false"/>
          <w:bCs w:val="false"/>
          <w:i w:val="false"/>
          <w:iCs w:val="false"/>
          <w:color w:val="1A1A1A"/>
          <w:sz w:val="21"/>
          <w:szCs w:val="21"/>
        </w:rPr>
        <w:t xml:space="preserve">Rows: Dialogs, Attachments. Columns: Count Total, Avg Descr/Size (meaning differs by row — see below), then Average count per: Account, Sent Req, Rec'd Req, ToDo.</w:t>
      </w:r>
    </w:p>
    <w:tbl>
      <w:tblPr>
        <w:tblW w:type="dxa" w:w="10000"/>
        <w:tblBorders>
          <w:top w:val="single" w:color="D7DEE9" w:sz="4"/>
          <w:left w:val="single" w:color="D7DEE9" w:sz="4"/>
          <w:bottom w:val="single" w:color="D7DEE9" w:sz="4"/>
          <w:right w:val="single" w:color="D7DEE9" w:sz="4"/>
          <w:insideH w:val="single" w:color="D7DEE9" w:sz="4"/>
          <w:insideV w:val="single" w:color="D7DEE9" w:sz="4"/>
        </w:tblBorders>
      </w:tblPr>
      <w:tblGrid>
        <w:gridCol w:w="1500"/>
        <w:gridCol w:w="1500"/>
        <w:gridCol w:w="1550"/>
        <w:gridCol w:w="1350"/>
        <w:gridCol w:w="1350"/>
        <w:gridCol w:w="1350"/>
        <w:gridCol w:w="1400"/>
      </w:tblGrid>
      <w:tr>
        <w:tc>
          <w:tcPr>
            <w:tcW w:type="dxa" w:w="1000"/>
            <w:shd w:fill="E5ECF7" w:val="clear"/>
            <w:tcMar>
              <w:top w:type="dxa" w:w="80"/>
              <w:left w:type="dxa" w:w="100"/>
              <w:bottom w:type="dxa" w:w="80"/>
              <w:right w:type="dxa" w:w="100"/>
            </w:tcMar>
            <w:vAlign w:val="center"/>
          </w:tcPr>
          <w:p>
            <w:pPr>
              <w:jc w:val="left"/>
            </w:pPr>
            <w:r>
              <w:rPr>
                <w:b/>
                <w:bCs/>
                <w:i w:val="false"/>
                <w:iCs w:val="false"/>
                <w:color w:val="2A5FC8"/>
                <w:sz w:val="19"/>
                <w:szCs w:val="19"/>
              </w:rPr>
              <w:t xml:space="preserve"/>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Count Total</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Avg Descr, Size</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per Account</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per Sent Req</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per Rec'd Req</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per ToDo</w:t>
            </w:r>
          </w:p>
        </w:tc>
      </w:tr>
      <w:tr>
        <w:tc>
          <w:tcPr>
            <w:tcW w:type="dxa" w:w="1000"/>
            <w:tcMar>
              <w:top w:type="dxa" w:w="80"/>
              <w:left w:type="dxa" w:w="100"/>
              <w:bottom w:type="dxa" w:w="80"/>
              <w:right w:type="dxa" w:w="100"/>
            </w:tcMar>
            <w:vAlign w:val="center"/>
          </w:tcPr>
          <w:p>
            <w:pPr>
              <w:jc w:val="left"/>
            </w:pPr>
            <w:r>
              <w:rPr>
                <w:b/>
                <w:bCs/>
                <w:i w:val="false"/>
                <w:iCs w:val="false"/>
                <w:color w:val="1A1A1A"/>
                <w:sz w:val="19"/>
                <w:szCs w:val="19"/>
              </w:rPr>
              <w:t xml:space="preserve">Dialogs</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(1)</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r>
      <w:tr>
        <w:tc>
          <w:tcPr>
            <w:tcW w:type="dxa" w:w="1000"/>
            <w:shd w:fill="F4F7FC" w:val="clear"/>
            <w:tcMar>
              <w:top w:type="dxa" w:w="80"/>
              <w:left w:type="dxa" w:w="100"/>
              <w:bottom w:type="dxa" w:w="80"/>
              <w:right w:type="dxa" w:w="100"/>
            </w:tcMar>
            <w:vAlign w:val="center"/>
          </w:tcPr>
          <w:p>
            <w:pPr>
              <w:jc w:val="left"/>
            </w:pPr>
            <w:r>
              <w:rPr>
                <w:b/>
                <w:bCs/>
                <w:i w:val="false"/>
                <w:iCs w:val="false"/>
                <w:color w:val="1A1A1A"/>
                <w:sz w:val="19"/>
                <w:szCs w:val="19"/>
              </w:rPr>
              <w:t xml:space="preserve">Attachments</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(2)</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shd w:fill="F4F7FC" w:val="clear"/>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r>
    </w:tbl>
    <w:p>
      <w:pPr>
        <w:spacing w:after="160"/>
      </w:pPr>
      <w:r>
        <w:rPr>
          <w:b w:val="false"/>
          <w:bCs w:val="false"/>
          <w:i/>
          <w:iCs/>
          <w:color w:val="1A1A1A"/>
          <w:sz w:val="21"/>
          <w:szCs w:val="21"/>
        </w:rPr>
        <w:t xml:space="preserve">(1)/(2) reference the formulas below — internal documentation only; no footnote markers render on screen.</w:t>
      </w:r>
    </w:p>
    <w:p>
      <w:pPr>
        <w:spacing w:after="160"/>
      </w:pPr>
      <w:r>
        <w:rPr>
          <w:b w:val="false"/>
          <w:bCs w:val="false"/>
          <w:i w:val="false"/>
          <w:iCs w:val="false"/>
          <w:color w:val="1A1A1A"/>
          <w:sz w:val="21"/>
          <w:szCs w:val="21"/>
        </w:rPr>
        <w:t xml:space="preserve">Formulas — computed for whichever accounts the screen's existing cohort filter currently selects (All accounts, Beta allowlist, a specific account, Free, or Subscribed), matching the “For Selected Accounts” framing used throughout this screen:</w:t>
      </w:r>
    </w:p>
    <w:p>
      <w:pPr>
        <w:pStyle w:val="ListParagraph"/>
        <w:numPr>
          <w:ilvl w:val="0"/>
          <w:numId w:val="1"/>
        </w:numPr>
        <w:spacing w:after="80"/>
        <w:ind w:left="360"/>
      </w:pPr>
      <w:r>
        <w:rPr>
          <w:color w:val="1A1A1A"/>
          <w:sz w:val="21"/>
          <w:szCs w:val="21"/>
        </w:rPr>
        <w:t xml:space="preserve">(1) Dialogs — Avg Descr = Dialogs Descr Size Total ÷ Dialogs Count Total (total characters across every Dialog entry's text, divided by the number of Dialog entries). Rounded to the nearest whole character.</w:t>
      </w:r>
    </w:p>
    <w:p>
      <w:pPr>
        <w:pStyle w:val="ListParagraph"/>
        <w:numPr>
          <w:ilvl w:val="0"/>
          <w:numId w:val="1"/>
        </w:numPr>
        <w:spacing w:after="80"/>
        <w:ind w:left="360"/>
      </w:pPr>
      <w:r>
        <w:rPr>
          <w:color w:val="1A1A1A"/>
          <w:sz w:val="21"/>
          <w:szCs w:val="21"/>
        </w:rPr>
        <w:t xml:space="preserve">(2) Attachments — Avg Size = Attachment Size Total ÷ Attachment Count Total (total file size of every attachment, divided by the number of attachments), in KB, rounded to the nearest whole KB.</w:t>
      </w:r>
    </w:p>
    <w:p>
      <w:pPr>
        <w:pStyle w:val="ListParagraph"/>
        <w:numPr>
          <w:ilvl w:val="0"/>
          <w:numId w:val="1"/>
        </w:numPr>
        <w:spacing w:after="80"/>
        <w:ind w:left="360"/>
      </w:pPr>
      <w:r>
        <w:rPr>
          <w:color w:val="1A1A1A"/>
          <w:sz w:val="21"/>
          <w:szCs w:val="21"/>
        </w:rPr>
        <w:t xml:space="preserve">Average count per Account / Sent Req / Rec'd Req / ToDo = the row's own Count Total ÷ the corresponding Entities-table Count Total (Accounts, Req's Sent, Req's Received, ToDos respectively), for the same selected cohort.</w:t>
      </w:r>
    </w:p>
    <w:p>
      <w:pPr>
        <w:pStyle w:val="Heading2"/>
        <w:spacing w:after="120" w:before="280"/>
      </w:pPr>
      <w:r>
        <w:rPr>
          <w:b/>
          <w:bCs/>
          <w:color w:val="1A1A1A"/>
          <w:sz w:val="24"/>
          <w:szCs w:val="24"/>
        </w:rPr>
        <w:t xml:space="preserve">2.5 Roster (per-account table)</w:t>
      </w:r>
    </w:p>
    <w:p>
      <w:pPr>
        <w:spacing w:after="160"/>
      </w:pPr>
      <w:r>
        <w:rPr>
          <w:b w:val="false"/>
          <w:bCs w:val="false"/>
          <w:i w:val="false"/>
          <w:iCs w:val="false"/>
          <w:color w:val="1A1A1A"/>
          <w:sz w:val="21"/>
          <w:szCs w:val="21"/>
        </w:rPr>
        <w:t xml:space="preserve">Purpose: the same metrics broken out one row per account, so the admin can scan or export per-account figures rather than only the aggregate totals above.</w:t>
      </w:r>
    </w:p>
    <w:p>
      <w:pPr>
        <w:spacing w:after="160"/>
      </w:pPr>
      <w:r>
        <w:rPr>
          <w:b w:val="false"/>
          <w:bCs w:val="false"/>
          <w:i w:val="false"/>
          <w:iCs w:val="false"/>
          <w:color w:val="1A1A1A"/>
          <w:sz w:val="21"/>
          <w:szCs w:val="21"/>
        </w:rPr>
        <w:t xml:space="preserve">Columns (simplified from the original build): Account, Contacts, Req Sent, Req Rec'd, ToDos, Dialogs, Atch's, Avg Atch Size.</w:t>
      </w:r>
    </w:p>
    <w:tbl>
      <w:tblPr>
        <w:tblW w:type="dxa" w:w="10000"/>
        <w:tblBorders>
          <w:top w:val="single" w:color="D7DEE9" w:sz="4"/>
          <w:left w:val="single" w:color="D7DEE9" w:sz="4"/>
          <w:bottom w:val="single" w:color="D7DEE9" w:sz="4"/>
          <w:right w:val="single" w:color="D7DEE9" w:sz="4"/>
          <w:insideH w:val="single" w:color="D7DEE9" w:sz="4"/>
          <w:insideV w:val="single" w:color="D7DEE9" w:sz="4"/>
        </w:tblBorders>
      </w:tblPr>
      <w:tblGrid>
        <w:gridCol w:w="1700"/>
        <w:gridCol w:w="1150"/>
        <w:gridCol w:w="1250"/>
        <w:gridCol w:w="1250"/>
        <w:gridCol w:w="1100"/>
        <w:gridCol w:w="1150"/>
        <w:gridCol w:w="1050"/>
        <w:gridCol w:w="1350"/>
      </w:tblGrid>
      <w:tr>
        <w:tc>
          <w:tcPr>
            <w:tcW w:type="dxa" w:w="1000"/>
            <w:shd w:fill="E5ECF7" w:val="clear"/>
            <w:tcMar>
              <w:top w:type="dxa" w:w="80"/>
              <w:left w:type="dxa" w:w="100"/>
              <w:bottom w:type="dxa" w:w="80"/>
              <w:right w:type="dxa" w:w="100"/>
            </w:tcMar>
            <w:vAlign w:val="center"/>
          </w:tcPr>
          <w:p>
            <w:pPr>
              <w:jc w:val="left"/>
            </w:pPr>
            <w:r>
              <w:rPr>
                <w:b/>
                <w:bCs/>
                <w:i w:val="false"/>
                <w:iCs w:val="false"/>
                <w:color w:val="2A5FC8"/>
                <w:sz w:val="19"/>
                <w:szCs w:val="19"/>
              </w:rPr>
              <w:t xml:space="preserve">Account</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Contacts</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Req Sent</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Req Rec'd</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ToDos</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Dialogs</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Atch's</w:t>
            </w:r>
          </w:p>
        </w:tc>
        <w:tc>
          <w:tcPr>
            <w:tcW w:type="dxa" w:w="1000"/>
            <w:shd w:fill="E5ECF7" w:val="clear"/>
            <w:tcMar>
              <w:top w:type="dxa" w:w="80"/>
              <w:left w:type="dxa" w:w="100"/>
              <w:bottom w:type="dxa" w:w="80"/>
              <w:right w:type="dxa" w:w="100"/>
            </w:tcMar>
            <w:vAlign w:val="center"/>
          </w:tcPr>
          <w:p>
            <w:pPr>
              <w:jc w:val="center"/>
            </w:pPr>
            <w:r>
              <w:rPr>
                <w:b/>
                <w:bCs/>
                <w:i w:val="false"/>
                <w:iCs w:val="false"/>
                <w:color w:val="2A5FC8"/>
                <w:sz w:val="19"/>
                <w:szCs w:val="19"/>
              </w:rPr>
              <w:t xml:space="preserve">Avg Atch Size</w:t>
            </w:r>
          </w:p>
        </w:tc>
      </w:tr>
      <w:tr>
        <w:tc>
          <w:tcPr>
            <w:tcW w:type="dxa" w:w="1000"/>
            <w:tcMar>
              <w:top w:type="dxa" w:w="80"/>
              <w:left w:type="dxa" w:w="100"/>
              <w:bottom w:type="dxa" w:w="80"/>
              <w:right w:type="dxa" w:w="100"/>
            </w:tcMar>
            <w:vAlign w:val="center"/>
          </w:tcPr>
          <w:p>
            <w:pPr>
              <w:jc w:val="left"/>
            </w:pPr>
            <w:r>
              <w:rPr>
                <w:b w:val="false"/>
                <w:bCs w:val="false"/>
                <w:i/>
                <w:iCs/>
                <w:color w:val="5B6472"/>
                <w:sz w:val="19"/>
                <w:szCs w:val="19"/>
              </w:rPr>
              <w:t xml:space="preserve">j.smith@example.com</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c>
          <w:tcPr>
            <w:tcW w:type="dxa" w:w="1000"/>
            <w:tcMar>
              <w:top w:type="dxa" w:w="80"/>
              <w:left w:type="dxa" w:w="100"/>
              <w:bottom w:type="dxa" w:w="80"/>
              <w:right w:type="dxa" w:w="100"/>
            </w:tcMar>
            <w:vAlign w:val="center"/>
          </w:tcPr>
          <w:p>
            <w:pPr>
              <w:jc w:val="center"/>
            </w:pPr>
            <w:r>
              <w:rPr>
                <w:b w:val="false"/>
                <w:bCs w:val="false"/>
                <w:i w:val="false"/>
                <w:iCs w:val="false"/>
                <w:color w:val="1A1A1A"/>
                <w:sz w:val="19"/>
                <w:szCs w:val="19"/>
              </w:rPr>
              <w:t xml:space="preserve">—</w:t>
            </w:r>
          </w:p>
        </w:tc>
      </w:tr>
    </w:tbl>
    <w:p>
      <w:pPr>
        <w:spacing w:after="160"/>
      </w:pPr>
      <w:r>
        <w:rPr>
          <w:b w:val="false"/>
          <w:bCs w:val="false"/>
          <w:i/>
          <w:iCs/>
          <w:color w:val="1A1A1A"/>
          <w:sz w:val="21"/>
          <w:szCs w:val="21"/>
        </w:rPr>
        <w:t xml:space="preserve">(Sample row shows column order only.)</w:t>
      </w:r>
    </w:p>
    <w:p>
      <w:pPr>
        <w:spacing w:after="160"/>
      </w:pPr>
      <w:r>
        <w:rPr>
          <w:b w:val="false"/>
          <w:bCs w:val="false"/>
          <w:i w:val="false"/>
          <w:iCs w:val="false"/>
          <w:color w:val="1A1A1A"/>
          <w:sz w:val="21"/>
          <w:szCs w:val="21"/>
        </w:rPr>
        <w:t xml:space="preserve">Account is shown as the account's email address (the roster RPC already returns account_id and email; email is the identifier displayed).</w:t>
      </w:r>
    </w:p>
    <w:p>
      <w:pPr>
        <w:spacing w:after="160"/>
      </w:pPr>
      <w:r>
        <w:rPr>
          <w:b w:val="false"/>
          <w:bCs w:val="false"/>
          <w:i w:val="false"/>
          <w:iCs w:val="false"/>
          <w:color w:val="1A1A1A"/>
          <w:sz w:val="21"/>
          <w:szCs w:val="21"/>
        </w:rPr>
        <w:t xml:space="preserve">Removed from the original build: the per-account Open/Overdue/Done/Archived breakdown. That detail remains available by switching the existing Accounts cohort filter to a specific account, which re-scopes the Entities and Volume tables above to that one account instead of duplicating the breakdown in every roster row.</w:t>
      </w:r>
    </w:p>
    <w:p>
      <w:pPr>
        <w:spacing w:after="160"/>
      </w:pPr>
      <w:r>
        <w:rPr>
          <w:b w:val="false"/>
          <w:bCs w:val="false"/>
          <w:i w:val="false"/>
          <w:iCs w:val="false"/>
          <w:color w:val="1A1A1A"/>
          <w:sz w:val="21"/>
          <w:szCs w:val="21"/>
        </w:rPr>
        <w:t xml:space="preserve">Controls unchanged: the existing “as of” date, sort, and cohort filter controls carry over exactly as currently built.</w:t>
      </w:r>
    </w:p>
    <w:p>
      <w:pPr>
        <w:pStyle w:val="Heading2"/>
        <w:spacing w:after="120" w:before="280"/>
      </w:pPr>
      <w:r>
        <w:rPr>
          <w:b/>
          <w:bCs/>
          <w:color w:val="1A1A1A"/>
          <w:sz w:val="24"/>
          <w:szCs w:val="24"/>
        </w:rPr>
        <w:t xml:space="preserve">2.6 Shared screen chrome</w:t>
      </w:r>
    </w:p>
    <w:p>
      <w:pPr>
        <w:spacing w:after="160"/>
      </w:pPr>
      <w:r>
        <w:rPr>
          <w:b w:val="false"/>
          <w:bCs w:val="false"/>
          <w:i w:val="false"/>
          <w:iCs w:val="false"/>
          <w:color w:val="1A1A1A"/>
          <w:sz w:val="21"/>
          <w:szCs w:val="21"/>
        </w:rPr>
        <w:t xml:space="preserve">Print (table-only output) and Export .xlsx, unchanged from the rest of this screen family (§1).</w:t>
      </w:r>
    </w:p>
    <w:p>
      <w:pPr>
        <w:pBdr>
          <w:bottom w:val="single" w:color="D7DEE9" w:sz="6" w:space="4"/>
        </w:pBdr>
        <w:spacing w:after="200" w:before="120"/>
      </w:pPr>
      <w:r>
        <w:t xml:space="preserve"/>
      </w:r>
    </w:p>
    <w:p>
      <w:pPr>
        <w:pStyle w:val="Heading1"/>
        <w:spacing w:after="160" w:before="360"/>
      </w:pPr>
      <w:r>
        <w:rPr>
          <w:b/>
          <w:bCs/>
          <w:color w:val="2A5FC8"/>
          <w:sz w:val="30"/>
          <w:szCs w:val="30"/>
        </w:rPr>
        <w:t xml:space="preserve">3. Other Admin Statistics screens (build reference)</w:t>
      </w:r>
    </w:p>
    <w:p>
      <w:pPr>
        <w:spacing w:after="160"/>
      </w:pPr>
      <w:r>
        <w:rPr>
          <w:b w:val="false"/>
          <w:bCs w:val="false"/>
          <w:i w:val="false"/>
          <w:iCs w:val="false"/>
          <w:color w:val="1A1A1A"/>
          <w:sz w:val="21"/>
          <w:szCs w:val="21"/>
        </w:rPr>
        <w:t xml:space="preserve">The four screens below are live. They have not yet been given a formal, section-numbered specification in this document — that is left for a future revision, in the same format used for Sum and Averages above.</w:t>
      </w:r>
    </w:p>
    <w:p>
      <w:pPr>
        <w:spacing w:after="160"/>
      </w:pPr>
      <w:r>
        <w:rPr>
          <w:b w:val="false"/>
          <w:bCs w:val="false"/>
          <w:i w:val="false"/>
          <w:iCs w:val="false"/>
          <w:color w:val="1A1A1A"/>
          <w:sz w:val="21"/>
          <w:szCs w:val="21"/>
        </w:rPr>
        <w:t xml:space="preserve">Updated 2026-09-12 (v1.1) — after reviewing the four live screens, the per-period bar/line charts were removed from all four (each screen’s own numbers table, already the print source of truth, is now the only rendering, on screen and in print alike); granularity now defaults to Monthly rather than Weekly; periods display newest-to-oldest (on screen, in print, and in the .xlsx export); and the diverging +/-/net columns were dropped (Contacts’ Added − Deleted; Requests’ and ToDos’ own Created − Deleted and Archived − Unarchived). See wyp_decisions_log.md, 2026-09-12.</w:t>
      </w:r>
    </w:p>
    <w:p>
      <w:pPr>
        <w:pStyle w:val="ListParagraph"/>
        <w:numPr>
          <w:ilvl w:val="0"/>
          <w:numId w:val="1"/>
        </w:numPr>
        <w:spacing w:after="80"/>
        <w:ind w:left="360"/>
      </w:pPr>
      <w:r>
        <w:rPr>
          <w:color w:val="1A1A1A"/>
          <w:sz w:val="21"/>
          <w:szCs w:val="21"/>
        </w:rPr>
        <w:t xml:space="preserve">Accounts — Activity — built, migration 064. See wyp_decisions_log.md, 2026-09-07 — “Admin Statistics: fifth screen, Accounts — Activity.”</w:t>
      </w:r>
    </w:p>
    <w:p>
      <w:pPr>
        <w:pStyle w:val="ListParagraph"/>
        <w:numPr>
          <w:ilvl w:val="0"/>
          <w:numId w:val="1"/>
        </w:numPr>
        <w:spacing w:after="80"/>
        <w:ind w:left="360"/>
      </w:pPr>
      <w:r>
        <w:rPr>
          <w:color w:val="1A1A1A"/>
          <w:sz w:val="21"/>
          <w:szCs w:val="21"/>
        </w:rPr>
        <w:t xml:space="preserve">Contacts — Activity — built, migration 056. See wyp_decisions_log.md, 2026-09-07 — “Admin Statistics: full build.”</w:t>
      </w:r>
    </w:p>
    <w:p>
      <w:pPr>
        <w:pStyle w:val="ListParagraph"/>
        <w:numPr>
          <w:ilvl w:val="0"/>
          <w:numId w:val="1"/>
        </w:numPr>
        <w:spacing w:after="80"/>
        <w:ind w:left="360"/>
      </w:pPr>
      <w:r>
        <w:rPr>
          <w:color w:val="1A1A1A"/>
          <w:sz w:val="21"/>
          <w:szCs w:val="21"/>
        </w:rPr>
        <w:t xml:space="preserve">Requests — Activity — built, migration 058. See wyp_decisions_log.md, 2026-09-07 — “Admin Statistics: full build.”</w:t>
      </w:r>
    </w:p>
    <w:p>
      <w:pPr>
        <w:pStyle w:val="ListParagraph"/>
        <w:numPr>
          <w:ilvl w:val="0"/>
          <w:numId w:val="1"/>
        </w:numPr>
        <w:spacing w:after="80"/>
        <w:ind w:left="360"/>
      </w:pPr>
      <w:r>
        <w:rPr>
          <w:color w:val="1A1A1A"/>
          <w:sz w:val="21"/>
          <w:szCs w:val="21"/>
        </w:rPr>
        <w:t xml:space="preserve">ToDos — Activity — built, migration 059. See wyp_decisions_log.md, 2026-09-07 — “Admin Statistics: full build.”</w:t>
      </w:r>
    </w:p>
    <w:p>
      <w:pPr>
        <w:pBdr>
          <w:bottom w:val="single" w:color="D7DEE9" w:sz="6" w:space="4"/>
        </w:pBdr>
        <w:spacing w:after="200" w:before="120"/>
      </w:pPr>
      <w:r>
        <w:t xml:space="preserve"/>
      </w:r>
    </w:p>
    <w:p>
      <w:pPr>
        <w:pStyle w:val="Heading1"/>
        <w:spacing w:after="160" w:before="360"/>
      </w:pPr>
      <w:r>
        <w:rPr>
          <w:b/>
          <w:bCs/>
          <w:color w:val="2A5FC8"/>
          <w:sz w:val="30"/>
          <w:szCs w:val="30"/>
        </w:rPr>
        <w:t xml:space="preserve">Revision History</w:t>
      </w:r>
    </w:p>
    <w:tbl>
      <w:tblPr>
        <w:tblW w:type="dxa" w:w="9000"/>
        <w:tblBorders>
          <w:top w:val="single" w:color="D7DEE9" w:sz="4"/>
          <w:left w:val="single" w:color="D7DEE9" w:sz="4"/>
          <w:bottom w:val="single" w:color="D7DEE9" w:sz="4"/>
          <w:right w:val="single" w:color="D7DEE9" w:sz="4"/>
          <w:insideH w:val="single" w:color="D7DEE9" w:sz="4"/>
          <w:insideV w:val="single" w:color="D7DEE9" w:sz="4"/>
        </w:tblBorders>
      </w:tblPr>
      <w:tblGrid>
        <w:gridCol w:w="1400"/>
        <w:gridCol w:w="2200"/>
        <w:gridCol w:w="5400"/>
      </w:tblGrid>
      <w:tr>
        <w:tc>
          <w:tcPr>
            <w:tcW w:type="dxa" w:w="1000"/>
            <w:shd w:fill="E5ECF7" w:val="clear"/>
            <w:tcMar>
              <w:top w:type="dxa" w:w="80"/>
              <w:left w:type="dxa" w:w="100"/>
              <w:bottom w:type="dxa" w:w="80"/>
              <w:right w:type="dxa" w:w="100"/>
            </w:tcMar>
            <w:vAlign w:val="center"/>
          </w:tcPr>
          <w:p>
            <w:pPr>
              <w:jc w:val="left"/>
            </w:pPr>
            <w:r>
              <w:rPr>
                <w:b/>
                <w:bCs/>
                <w:i w:val="false"/>
                <w:iCs w:val="false"/>
                <w:color w:val="2A5FC8"/>
                <w:sz w:val="19"/>
                <w:szCs w:val="19"/>
              </w:rPr>
              <w:t xml:space="preserve">Version</w:t>
            </w:r>
          </w:p>
        </w:tc>
        <w:tc>
          <w:tcPr>
            <w:tcW w:type="dxa" w:w="1000"/>
            <w:shd w:fill="E5ECF7" w:val="clear"/>
            <w:tcMar>
              <w:top w:type="dxa" w:w="80"/>
              <w:left w:type="dxa" w:w="100"/>
              <w:bottom w:type="dxa" w:w="80"/>
              <w:right w:type="dxa" w:w="100"/>
            </w:tcMar>
            <w:vAlign w:val="center"/>
          </w:tcPr>
          <w:p>
            <w:pPr>
              <w:jc w:val="left"/>
            </w:pPr>
            <w:r>
              <w:rPr>
                <w:b/>
                <w:bCs/>
                <w:i w:val="false"/>
                <w:iCs w:val="false"/>
                <w:color w:val="2A5FC8"/>
                <w:sz w:val="19"/>
                <w:szCs w:val="19"/>
              </w:rPr>
              <w:t xml:space="preserve">Date</w:t>
            </w:r>
          </w:p>
        </w:tc>
        <w:tc>
          <w:tcPr>
            <w:tcW w:type="dxa" w:w="1000"/>
            <w:shd w:fill="E5ECF7" w:val="clear"/>
            <w:tcMar>
              <w:top w:type="dxa" w:w="80"/>
              <w:left w:type="dxa" w:w="100"/>
              <w:bottom w:type="dxa" w:w="80"/>
              <w:right w:type="dxa" w:w="100"/>
            </w:tcMar>
            <w:vAlign w:val="center"/>
          </w:tcPr>
          <w:p>
            <w:pPr>
              <w:jc w:val="left"/>
            </w:pPr>
            <w:r>
              <w:rPr>
                <w:b/>
                <w:bCs/>
                <w:i w:val="false"/>
                <w:iCs w:val="false"/>
                <w:color w:val="2A5FC8"/>
                <w:sz w:val="19"/>
                <w:szCs w:val="19"/>
              </w:rPr>
              <w:t xml:space="preserve">Summary</w:t>
            </w:r>
          </w:p>
        </w:tc>
      </w:tr>
      <w:tr>
        <w:tc>
          <w:tcPr>
            <w:tcW w:type="dxa" w:w="1000"/>
            <w:tcMar>
              <w:top w:type="dxa" w:w="80"/>
              <w:left w:type="dxa" w:w="100"/>
              <w:bottom w:type="dxa" w:w="80"/>
              <w:right w:type="dxa" w:w="100"/>
            </w:tcMar>
            <w:vAlign w:val="center"/>
          </w:tcPr>
          <w:p>
            <w:pPr>
              <w:jc w:val="left"/>
            </w:pPr>
            <w:r>
              <w:rPr>
                <w:b w:val="false"/>
                <w:bCs w:val="false"/>
                <w:i w:val="false"/>
                <w:iCs w:val="false"/>
                <w:color w:val="1A1A1A"/>
                <w:sz w:val="19"/>
                <w:szCs w:val="19"/>
              </w:rPr>
              <w:t xml:space="preserve">v1.0</w:t>
            </w:r>
          </w:p>
        </w:tc>
        <w:tc>
          <w:tcPr>
            <w:tcW w:type="dxa" w:w="1000"/>
            <w:tcMar>
              <w:top w:type="dxa" w:w="80"/>
              <w:left w:type="dxa" w:w="100"/>
              <w:bottom w:type="dxa" w:w="80"/>
              <w:right w:type="dxa" w:w="100"/>
            </w:tcMar>
            <w:vAlign w:val="center"/>
          </w:tcPr>
          <w:p>
            <w:pPr>
              <w:jc w:val="left"/>
            </w:pPr>
            <w:r>
              <w:rPr>
                <w:b w:val="false"/>
                <w:bCs w:val="false"/>
                <w:i w:val="false"/>
                <w:iCs w:val="false"/>
                <w:color w:val="1A1A1A"/>
                <w:sz w:val="19"/>
                <w:szCs w:val="19"/>
              </w:rPr>
              <w:t xml:space="preserve">2026-09-07</w:t>
            </w:r>
          </w:p>
        </w:tc>
        <w:tc>
          <w:tcPr>
            <w:tcW w:type="dxa" w:w="1000"/>
            <w:tcMar>
              <w:top w:type="dxa" w:w="80"/>
              <w:left w:type="dxa" w:w="100"/>
              <w:bottom w:type="dxa" w:w="80"/>
              <w:right w:type="dxa" w:w="100"/>
            </w:tcMar>
            <w:vAlign w:val="center"/>
          </w:tcPr>
          <w:p>
            <w:pPr>
              <w:jc w:val="left"/>
            </w:pPr>
            <w:r>
              <w:rPr>
                <w:b w:val="false"/>
                <w:bCs w:val="false"/>
                <w:i w:val="false"/>
                <w:iCs w:val="false"/>
                <w:color w:val="1A1A1A"/>
                <w:sz w:val="19"/>
                <w:szCs w:val="19"/>
              </w:rPr>
              <w:t xml:space="preserve">Initial specification. Fully specifies Sum and Averages: Entities table and Volume table (replacing the original KPI stat-tile block) with percentage-based status breakdowns and new Dialog/Attachment average metrics, plus a simplified Roster. Lists the four existing Activity screens as build references pending their own full specification.</w:t>
            </w:r>
          </w:p>
        </w:tc>
      </w:tr>
      <w:tr>
        <w:tc>
          <w:tcPr>
            <w:tcW w:type="dxa" w:w="1000"/>
            <w:tcMar>
              <w:top w:type="dxa" w:w="80"/>
              <w:left w:type="dxa" w:w="100"/>
              <w:bottom w:type="dxa" w:w="80"/>
              <w:right w:type="dxa" w:w="100"/>
            </w:tcMar>
            <w:vAlign w:val="center"/>
          </w:tcPr>
          <w:p>
            <w:pPr>
              <w:jc w:val="left"/>
            </w:pPr>
            <w:r>
              <w:rPr>
                <w:b w:val="false"/>
                <w:bCs w:val="false"/>
                <w:i w:val="false"/>
                <w:iCs w:val="false"/>
                <w:color w:val="1A1A1A"/>
                <w:sz w:val="19"/>
                <w:szCs w:val="19"/>
              </w:rPr>
              <w:t xml:space="preserve">v1.1</w:t>
            </w:r>
          </w:p>
        </w:tc>
        <w:tc>
          <w:tcPr>
            <w:tcW w:type="dxa" w:w="1000"/>
            <w:tcMar>
              <w:top w:type="dxa" w:w="80"/>
              <w:left w:type="dxa" w:w="100"/>
              <w:bottom w:type="dxa" w:w="80"/>
              <w:right w:type="dxa" w:w="100"/>
            </w:tcMar>
            <w:vAlign w:val="center"/>
          </w:tcPr>
          <w:p>
            <w:pPr>
              <w:jc w:val="left"/>
            </w:pPr>
            <w:r>
              <w:rPr>
                <w:b w:val="false"/>
                <w:bCs w:val="false"/>
                <w:i w:val="false"/>
                <w:iCs w:val="false"/>
                <w:color w:val="1A1A1A"/>
                <w:sz w:val="19"/>
                <w:szCs w:val="19"/>
              </w:rPr>
              <w:t xml:space="preserve">2026-09-12</w:t>
            </w:r>
          </w:p>
        </w:tc>
        <w:tc>
          <w:tcPr>
            <w:tcW w:type="dxa" w:w="1000"/>
            <w:tcMar>
              <w:top w:type="dxa" w:w="80"/>
              <w:left w:type="dxa" w:w="100"/>
              <w:bottom w:type="dxa" w:w="80"/>
              <w:right w:type="dxa" w:w="100"/>
            </w:tcMar>
            <w:vAlign w:val="center"/>
          </w:tcPr>
          <w:p>
            <w:pPr>
              <w:jc w:val="left"/>
            </w:pPr>
            <w:r>
              <w:rPr>
                <w:b w:val="false"/>
                <w:bCs w:val="false"/>
                <w:i w:val="false"/>
                <w:iCs w:val="false"/>
                <w:color w:val="1A1A1A"/>
                <w:sz w:val="19"/>
                <w:szCs w:val="19"/>
              </w:rPr>
              <w:t xml:space="preserve">Records 2026-09-12 changes to all four existing Activity screens (Accounts, Contacts, Requests, ToDos): removed per-period bar/line charts (numbers table only, as already printed); default granularity changed from Weekly to Monthly; periods now sort newest-to-oldest (screen, print, and .xlsx export); dropped the diverging +/-/net columns (Added − Deleted; Created − Deleted; Archived − Unarchived). Sum and Averages (Section 2) is unchanged.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2026-09-07T17:53:29.438Z</dcterms:created>
  <dcterms:modified xsi:type="dcterms:W3CDTF">2026-09-07T17:53:29.453Z</dcterms:modified>
</cp:coreProperties>
</file>

<file path=docProps/custom.xml><?xml version="1.0" encoding="utf-8"?>
<Properties xmlns="http://schemas.openxmlformats.org/officeDocument/2006/custom-properties" xmlns:vt="http://schemas.openxmlformats.org/officeDocument/2006/docPropsVTypes"/>
</file>