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FDF" w:rsidRPr="002A72A5" w:rsidRDefault="00195FDF" w:rsidP="0036009B">
      <w:pPr>
        <w:pStyle w:val="00Chaptitre"/>
      </w:pPr>
      <w:r w:rsidRPr="002A72A5">
        <w:t>Synthèse</w:t>
      </w:r>
    </w:p>
    <w:p w:rsidR="00195FDF" w:rsidRPr="002A72A5" w:rsidRDefault="00195FDF" w:rsidP="0036009B">
      <w:pPr>
        <w:pStyle w:val="04Exercicestitre"/>
      </w:pPr>
      <w:r w:rsidRPr="002A72A5">
        <w:t>Chapitre 1</w:t>
      </w:r>
      <w:r w:rsidRPr="002A72A5">
        <w:tab/>
      </w:r>
      <w:bookmarkStart w:id="0" w:name="_GoBack"/>
      <w:r w:rsidRPr="002A72A5">
        <w:t>Organisation de la prospection et prospection clientèle</w:t>
      </w:r>
      <w:bookmarkEnd w:id="0"/>
    </w:p>
    <w:p w:rsidR="00195FDF" w:rsidRPr="002A72A5" w:rsidRDefault="00195FDF" w:rsidP="0036009B">
      <w:pPr>
        <w:pStyle w:val="TTextecourant"/>
      </w:pPr>
      <w:r w:rsidRPr="002A72A5">
        <w:t>Pour assurer leur pérennité, toutes les entreprises, quelles que soient leur taille et leurs activités, sont amenées à r</w:t>
      </w:r>
      <w:r w:rsidRPr="002A72A5">
        <w:t>e</w:t>
      </w:r>
      <w:r w:rsidRPr="002A72A5">
        <w:t>chercher de nouveaux clients. Les actions de prospection doivent être réalisées régulièrement et conduites avec r</w:t>
      </w:r>
      <w:r w:rsidRPr="002A72A5">
        <w:t>i</w:t>
      </w:r>
      <w:r w:rsidRPr="002A72A5">
        <w:t>gueur. Il s’agira de définir précisément la cible, les objectifs et les moyens disponibles pour choisir les canaux de pro</w:t>
      </w:r>
      <w:r w:rsidRPr="002A72A5">
        <w:t>s</w:t>
      </w:r>
      <w:r w:rsidRPr="002A72A5">
        <w:t>pection les plus pertinents, et enfin d’évaluer l’efficience de l’opération.</w:t>
      </w:r>
    </w:p>
    <w:p w:rsidR="00195FDF" w:rsidRPr="002A72A5" w:rsidRDefault="0036009B" w:rsidP="0036009B">
      <w:pPr>
        <w:pStyle w:val="05ExerciceTitre"/>
      </w:pPr>
      <w:r>
        <w:t>I</w:t>
      </w:r>
      <w:r>
        <w:tab/>
      </w:r>
      <w:r w:rsidR="00195FDF" w:rsidRPr="002A72A5">
        <w:t>Construire la base de données</w:t>
      </w:r>
    </w:p>
    <w:p w:rsidR="00195FDF" w:rsidRPr="002A72A5" w:rsidRDefault="00195FDF" w:rsidP="0036009B">
      <w:pPr>
        <w:pStyle w:val="TTextecourant"/>
      </w:pPr>
      <w:r w:rsidRPr="002A72A5">
        <w:t>La qualité et la mise à jour de la base de données prospects sont les premières clés de la réussite de toute action co</w:t>
      </w:r>
      <w:r w:rsidRPr="002A72A5">
        <w:t>m</w:t>
      </w:r>
      <w:r w:rsidRPr="002A72A5">
        <w:t>merciale.</w:t>
      </w:r>
    </w:p>
    <w:p w:rsidR="00195FDF" w:rsidRPr="002A72A5" w:rsidRDefault="00195FDF" w:rsidP="0036009B">
      <w:pPr>
        <w:pStyle w:val="TTextecourant"/>
      </w:pPr>
      <w:r w:rsidRPr="002A72A5">
        <w:t>L’assistant(e) de gestion doit porter un intérêt tout particulier à la nature des informations contenues dans sa base, ainsi qu’à la solution logicielle qui permettra de la gérer.</w:t>
      </w:r>
    </w:p>
    <w:p w:rsidR="00195FDF" w:rsidRPr="002A72A5" w:rsidRDefault="00195FDF" w:rsidP="0036009B">
      <w:pPr>
        <w:pStyle w:val="06Questionenonce"/>
      </w:pPr>
      <w:r w:rsidRPr="002A72A5">
        <w:t>A</w:t>
      </w:r>
      <w:r w:rsidRPr="002A72A5">
        <w:tab/>
        <w:t>Définir la nature des données</w:t>
      </w:r>
    </w:p>
    <w:p w:rsidR="00195FDF" w:rsidRPr="002A72A5" w:rsidRDefault="00195FDF" w:rsidP="0036009B">
      <w:pPr>
        <w:pStyle w:val="TTextecourant"/>
      </w:pPr>
      <w:r w:rsidRPr="002A72A5">
        <w:t>Elles assurent une bonne connaissance du profil du prospect/client ainsi que son comportement d’achat. L’assistant(e) de gestion sera attentif (attentive) à la qualité des données collectées. En effet, un mauvais nom ou un numéro de tél</w:t>
      </w:r>
      <w:r w:rsidRPr="002A72A5">
        <w:t>é</w:t>
      </w:r>
      <w:r w:rsidRPr="002A72A5">
        <w:t>phone erroné feront perdre beaucoup de temps et d’argent.</w:t>
      </w:r>
    </w:p>
    <w:p w:rsidR="00195FDF" w:rsidRPr="002A72A5" w:rsidRDefault="00195FDF" w:rsidP="0036009B">
      <w:pPr>
        <w:pStyle w:val="TTextecourant"/>
      </w:pPr>
      <w:r w:rsidRPr="002A72A5">
        <w:t>La base de données pourra contenir des informations sur :</w:t>
      </w:r>
    </w:p>
    <w:p w:rsidR="00195FDF" w:rsidRPr="002A72A5" w:rsidRDefault="00195FDF" w:rsidP="0036009B">
      <w:pPr>
        <w:pStyle w:val="TEnumpuce"/>
      </w:pPr>
      <w:r w:rsidRPr="002A72A5">
        <w:t>l’identité du prospect : raison sociale, adresse, code postal, ville, téléphone, site Internet, e-mail, fax, act</w:t>
      </w:r>
      <w:r w:rsidRPr="002A72A5">
        <w:t>i</w:t>
      </w:r>
      <w:r w:rsidRPr="002A72A5">
        <w:t>vité, taille, CA ;</w:t>
      </w:r>
    </w:p>
    <w:p w:rsidR="00195FDF" w:rsidRPr="002A72A5" w:rsidRDefault="00195FDF" w:rsidP="0036009B">
      <w:pPr>
        <w:pStyle w:val="TEnumpuce"/>
      </w:pPr>
      <w:r w:rsidRPr="002A72A5">
        <w:t>les différents contacts dans l’entreprise : nom du contact, fonction, mail et téléphone ;</w:t>
      </w:r>
    </w:p>
    <w:p w:rsidR="00195FDF" w:rsidRPr="002A72A5" w:rsidRDefault="00195FDF" w:rsidP="0036009B">
      <w:pPr>
        <w:pStyle w:val="TEnumpuce"/>
      </w:pPr>
      <w:r w:rsidRPr="002A72A5">
        <w:t>les informations sur la relation commerciale : date de début de contrats, historique des contacts, comme</w:t>
      </w:r>
      <w:r w:rsidRPr="002A72A5">
        <w:t>n</w:t>
      </w:r>
      <w:r w:rsidRPr="002A72A5">
        <w:t>taires sur les différents contacts, valeurs des achats présents ;</w:t>
      </w:r>
    </w:p>
    <w:p w:rsidR="00195FDF" w:rsidRPr="002A72A5" w:rsidRDefault="00195FDF" w:rsidP="0036009B">
      <w:pPr>
        <w:pStyle w:val="TEnumpuce"/>
      </w:pPr>
      <w:r w:rsidRPr="002A72A5">
        <w:t>autres informations : projets, préférences du client, centres d’intérêt…</w:t>
      </w:r>
    </w:p>
    <w:p w:rsidR="00195FDF" w:rsidRPr="002A72A5" w:rsidRDefault="00195FDF" w:rsidP="0036009B">
      <w:pPr>
        <w:pStyle w:val="TTextecourant"/>
      </w:pPr>
      <w:r w:rsidRPr="002A72A5">
        <w:t>La mise à jour et l'enrichissement de la base de données ne doivent pas être une opération ponctuelle et isolée réalisée par l’assistant(e) de gestion mais, au contraire, un processus continu qui implique tous les services de l’entreprise.</w:t>
      </w:r>
    </w:p>
    <w:p w:rsidR="00195FDF" w:rsidRPr="002A72A5" w:rsidRDefault="00195FDF" w:rsidP="0036009B">
      <w:pPr>
        <w:pStyle w:val="06Questionenonce"/>
      </w:pPr>
      <w:r w:rsidRPr="002A72A5">
        <w:t>B</w:t>
      </w:r>
      <w:r w:rsidRPr="002A72A5">
        <w:tab/>
        <w:t>Constituer la base de données</w:t>
      </w:r>
    </w:p>
    <w:p w:rsidR="00195FDF" w:rsidRPr="002A72A5" w:rsidRDefault="00195FDF" w:rsidP="0036009B">
      <w:pPr>
        <w:pStyle w:val="TTextecourant"/>
      </w:pPr>
      <w:r w:rsidRPr="002A72A5">
        <w:t>Trois options s’offrent à l’entreprise : acheter la base, la louer ou bien la construire en interne.</w:t>
      </w:r>
    </w:p>
    <w:p w:rsidR="00195FDF" w:rsidRPr="002A72A5" w:rsidRDefault="00195FDF" w:rsidP="0036009B">
      <w:pPr>
        <w:pStyle w:val="TTextecourant"/>
      </w:pPr>
      <w:r w:rsidRPr="002A72A5">
        <w:t>La meilleure solution est de constituer la base à l'aide des informations internes (contacts pris lors d'un salon, form</w:t>
      </w:r>
      <w:r w:rsidRPr="002A72A5">
        <w:t>u</w:t>
      </w:r>
      <w:r w:rsidRPr="002A72A5">
        <w:t>laires complétés en ligne, web, réseaux sociaux, enquête, courriers reçus des clients, rapport des commerciaux…). Ce travail est certes long et fastidieux, mais il garantit à l’entreprise des inform</w:t>
      </w:r>
      <w:r w:rsidRPr="002A72A5">
        <w:t>a</w:t>
      </w:r>
      <w:r w:rsidRPr="002A72A5">
        <w:t>tions actuelles, fiables et pertinentes. Ainsi, les actions commerciales seront mieux ciblées et se distingu</w:t>
      </w:r>
      <w:r w:rsidRPr="002A72A5">
        <w:t>e</w:t>
      </w:r>
      <w:r w:rsidRPr="002A72A5">
        <w:t>ront des offres concurrentes envoyées en nombre à partir d’une même liste de diffusion.</w:t>
      </w:r>
    </w:p>
    <w:p w:rsidR="00195FDF" w:rsidRPr="002A72A5" w:rsidRDefault="00195FDF" w:rsidP="0036009B">
      <w:pPr>
        <w:pStyle w:val="TTextecourant"/>
      </w:pPr>
      <w:r w:rsidRPr="002A72A5">
        <w:t>L’assistant(e) de gestion dispose de différentes solutions logicielles pour gérer ses données : SGBDR (système de ge</w:t>
      </w:r>
      <w:r w:rsidRPr="002A72A5">
        <w:t>s</w:t>
      </w:r>
      <w:r w:rsidRPr="002A72A5">
        <w:t>tion de bases de données relationnelles), tableur, PGI (progiciel de gestion intégré) ou encore des solutions en CRM (</w:t>
      </w:r>
      <w:proofErr w:type="spellStart"/>
      <w:r w:rsidRPr="002A72A5">
        <w:t>customer</w:t>
      </w:r>
      <w:proofErr w:type="spellEnd"/>
      <w:r w:rsidRPr="002A72A5">
        <w:t xml:space="preserve"> </w:t>
      </w:r>
      <w:proofErr w:type="spellStart"/>
      <w:r w:rsidRPr="002A72A5">
        <w:t>relationship</w:t>
      </w:r>
      <w:proofErr w:type="spellEnd"/>
      <w:r w:rsidRPr="002A72A5">
        <w:t xml:space="preserve"> management). Le PGI, bien que plus couteux, offre une solution complète et personnalisable pour gérer le système d’informations de l’entreprise. Il assure la cohérence et l’homogénéité des informations gérées dans l’organisation. Une solution d’ERP « libre », </w:t>
      </w:r>
      <w:proofErr w:type="spellStart"/>
      <w:r w:rsidRPr="002A72A5">
        <w:t>Odoo</w:t>
      </w:r>
      <w:proofErr w:type="spellEnd"/>
      <w:r w:rsidRPr="002A72A5">
        <w:t>, est également disponible.</w:t>
      </w:r>
    </w:p>
    <w:p w:rsidR="00195FDF" w:rsidRPr="002A72A5" w:rsidRDefault="00195FDF" w:rsidP="0036009B">
      <w:pPr>
        <w:pStyle w:val="TTextecourant"/>
      </w:pPr>
      <w:r w:rsidRPr="002A72A5">
        <w:t xml:space="preserve">À défaut, l’entreprise pourra recourir à des solutions logicielles plus accessibles (Access, Excel, Open Office) mais qui trouveront rapidement leurs limites (doublon, lourdeur d’exploitation, connaissance du VBA : </w:t>
      </w:r>
      <w:proofErr w:type="spellStart"/>
      <w:r w:rsidRPr="002A72A5">
        <w:t>visual</w:t>
      </w:r>
      <w:proofErr w:type="spellEnd"/>
      <w:r w:rsidRPr="002A72A5">
        <w:t xml:space="preserve"> basic for applic</w:t>
      </w:r>
      <w:r w:rsidRPr="002A72A5">
        <w:t>a</w:t>
      </w:r>
      <w:r w:rsidRPr="002A72A5">
        <w:t>tions).</w:t>
      </w:r>
    </w:p>
    <w:p w:rsidR="00195FDF" w:rsidRPr="002A72A5" w:rsidRDefault="00195FDF" w:rsidP="0036009B">
      <w:pPr>
        <w:pStyle w:val="06Questionenonce"/>
      </w:pPr>
      <w:r w:rsidRPr="002A72A5">
        <w:t>C</w:t>
      </w:r>
      <w:r w:rsidRPr="002A72A5">
        <w:tab/>
        <w:t>Respecter la règlementation</w:t>
      </w:r>
    </w:p>
    <w:p w:rsidR="00195FDF" w:rsidRPr="002A72A5" w:rsidRDefault="00195FDF" w:rsidP="0036009B">
      <w:pPr>
        <w:pStyle w:val="TTextecourant"/>
      </w:pPr>
      <w:bookmarkStart w:id="1" w:name="_Toc224028291"/>
      <w:bookmarkStart w:id="2" w:name="_Toc224032383"/>
      <w:r w:rsidRPr="002A72A5">
        <w:t xml:space="preserve">Les fichiers de clients et de prospects doivent être déclarés à la Commission nationale de l’informatique et des libertés (CNIL). La déclaration est désormais simplifiée, grâce à la norme NS-048, qui concerne les traitements automatisés de données à caractère personnel relatifs à la gestion de clients et de prospects : </w:t>
      </w:r>
      <w:hyperlink r:id="rId9" w:history="1">
        <w:r w:rsidRPr="002A72A5">
          <w:rPr>
            <w:rStyle w:val="Lienhypertexte"/>
          </w:rPr>
          <w:t>https://www.cnil.fr/fr/declaration/ns-048-fichiers-clients-prospects-et-vente-en-ligne</w:t>
        </w:r>
      </w:hyperlink>
      <w:r w:rsidRPr="002A72A5">
        <w:t>.</w:t>
      </w:r>
    </w:p>
    <w:p w:rsidR="00195FDF" w:rsidRPr="002A72A5" w:rsidRDefault="00195FDF" w:rsidP="0036009B">
      <w:pPr>
        <w:pStyle w:val="TTextecourant"/>
      </w:pPr>
      <w:r w:rsidRPr="002A72A5">
        <w:t>La prospection commerciale par téléphone, courrier et électronique est rigoureusement encadrée.</w:t>
      </w:r>
    </w:p>
    <w:p w:rsidR="00195FDF" w:rsidRPr="002A72A5" w:rsidRDefault="00195FDF" w:rsidP="0036009B">
      <w:pPr>
        <w:pStyle w:val="TTextecourant"/>
      </w:pPr>
      <w:r w:rsidRPr="002A72A5">
        <w:t xml:space="preserve">Le principe de base est « pas de message commercial sans accord préalable du destinataire » : </w:t>
      </w:r>
      <w:hyperlink r:id="rId10" w:history="1">
        <w:r w:rsidRPr="002A72A5">
          <w:rPr>
            <w:rStyle w:val="Lienhypertexte"/>
          </w:rPr>
          <w:t>https://www.cnil.fr/fr/la-prospection-commerciale-par-courrier-electronique</w:t>
        </w:r>
      </w:hyperlink>
      <w:r w:rsidRPr="002A72A5">
        <w:t>.</w:t>
      </w:r>
    </w:p>
    <w:p w:rsidR="00195FDF" w:rsidRPr="002A72A5" w:rsidRDefault="00195FDF" w:rsidP="0036009B">
      <w:pPr>
        <w:pStyle w:val="TTextecourant"/>
      </w:pPr>
      <w:r w:rsidRPr="002A72A5">
        <w:t xml:space="preserve">À consulter également, les fiches pratiques de la CNIL qui récapitulent toutes les règles sur la gestion des données clients : </w:t>
      </w:r>
      <w:hyperlink r:id="rId11" w:history="1">
        <w:r w:rsidRPr="002A72A5">
          <w:rPr>
            <w:rStyle w:val="Lienhypertexte"/>
          </w:rPr>
          <w:t>https://www.cnil.fr/sites/default/files/atoms/files/commerce_et_donnees_personelles.pd</w:t>
        </w:r>
      </w:hyperlink>
      <w:r w:rsidRPr="002A72A5">
        <w:t>.</w:t>
      </w:r>
    </w:p>
    <w:p w:rsidR="00195FDF" w:rsidRPr="002A72A5" w:rsidRDefault="00195FDF" w:rsidP="0036009B">
      <w:pPr>
        <w:pStyle w:val="05ExerciceTitre"/>
      </w:pPr>
      <w:r w:rsidRPr="002A72A5">
        <w:lastRenderedPageBreak/>
        <w:t>II</w:t>
      </w:r>
      <w:bookmarkEnd w:id="1"/>
      <w:bookmarkEnd w:id="2"/>
      <w:r w:rsidRPr="002A72A5">
        <w:tab/>
        <w:t>Préparer les supports de communication</w:t>
      </w:r>
      <w:r w:rsidRPr="002A72A5">
        <w:rPr>
          <w:rFonts w:ascii="Arial" w:hAnsi="Arial" w:cs="Arial"/>
        </w:rPr>
        <w:t> </w:t>
      </w:r>
      <w:r w:rsidRPr="002A72A5">
        <w:t>: choisir le canal de prospection</w:t>
      </w:r>
    </w:p>
    <w:p w:rsidR="00195FDF" w:rsidRPr="002A72A5" w:rsidRDefault="00195FDF" w:rsidP="0036009B">
      <w:pPr>
        <w:pStyle w:val="TTextecourant"/>
      </w:pPr>
      <w:r w:rsidRPr="002A72A5">
        <w:t>Selon les objectifs et les contraintes de l’action de prospection, l’assistant(e) de gestion détermine le ou les canaux de prospection les plus pertinents : téléphone, courrier, mail, fax, participation à un salon pr</w:t>
      </w:r>
      <w:r w:rsidRPr="002A72A5">
        <w:t>o</w:t>
      </w:r>
      <w:r w:rsidRPr="002A72A5">
        <w:t>fessionnel.</w:t>
      </w:r>
    </w:p>
    <w:p w:rsidR="00195FDF" w:rsidRPr="002A72A5" w:rsidRDefault="00195FDF" w:rsidP="0036009B">
      <w:pPr>
        <w:pStyle w:val="TTextecourant"/>
      </w:pPr>
      <w:r w:rsidRPr="002A72A5">
        <w:t>Les supports de communication doivent permettre de toucher et séduire les prospects. Le choix et la qualité des su</w:t>
      </w:r>
      <w:r w:rsidRPr="002A72A5">
        <w:t>p</w:t>
      </w:r>
      <w:r w:rsidRPr="002A72A5">
        <w:t>ports de communication sont en grande partie garants du succès de l’opération.</w:t>
      </w:r>
    </w:p>
    <w:p w:rsidR="00195FDF" w:rsidRPr="002A72A5" w:rsidRDefault="00195FDF" w:rsidP="0036009B">
      <w:pPr>
        <w:pStyle w:val="TTextecourant"/>
      </w:pPr>
      <w:r w:rsidRPr="002A72A5">
        <w:t>Selon le canal de prospection l’assistant(e) de gestion réalise :</w:t>
      </w:r>
    </w:p>
    <w:p w:rsidR="00195FDF" w:rsidRPr="002A72A5" w:rsidRDefault="00195FDF" w:rsidP="0036009B">
      <w:pPr>
        <w:pStyle w:val="TEnumpuce"/>
      </w:pPr>
      <w:r w:rsidRPr="002A72A5">
        <w:t>un argumentaire téléphonique ;</w:t>
      </w:r>
    </w:p>
    <w:p w:rsidR="00195FDF" w:rsidRPr="002A72A5" w:rsidRDefault="00195FDF" w:rsidP="0036009B">
      <w:pPr>
        <w:pStyle w:val="TEnumpuce"/>
      </w:pPr>
      <w:r w:rsidRPr="002A72A5">
        <w:t>un publipostage commercial ;</w:t>
      </w:r>
    </w:p>
    <w:p w:rsidR="00195FDF" w:rsidRPr="002A72A5" w:rsidRDefault="00195FDF" w:rsidP="0036009B">
      <w:pPr>
        <w:pStyle w:val="TEnumpuce"/>
      </w:pPr>
      <w:r w:rsidRPr="002A72A5">
        <w:t>un e-mail commercial ;</w:t>
      </w:r>
    </w:p>
    <w:p w:rsidR="00195FDF" w:rsidRPr="002A72A5" w:rsidRDefault="00195FDF" w:rsidP="0036009B">
      <w:pPr>
        <w:pStyle w:val="TEnumpuce"/>
      </w:pPr>
      <w:r w:rsidRPr="002A72A5">
        <w:t>une plaquette commerciale : fait partie des supports de communication indispensables, c'est un outil destiné à pr</w:t>
      </w:r>
      <w:r w:rsidRPr="002A72A5">
        <w:t>o</w:t>
      </w:r>
      <w:r w:rsidRPr="002A72A5">
        <w:t>mouvoir l’activité et l’image de l’entreprise, qui sera utilisé à de multiples occasions comme</w:t>
      </w:r>
      <w:r w:rsidRPr="002A72A5">
        <w:t>r</w:t>
      </w:r>
      <w:r w:rsidRPr="002A72A5">
        <w:t>ciales.</w:t>
      </w:r>
    </w:p>
    <w:p w:rsidR="00195FDF" w:rsidRPr="002A72A5" w:rsidRDefault="00195FDF" w:rsidP="0036009B">
      <w:pPr>
        <w:pStyle w:val="05ExerciceTitre"/>
      </w:pPr>
      <w:r w:rsidRPr="002A72A5">
        <w:t>III</w:t>
      </w:r>
      <w:r w:rsidRPr="002A72A5">
        <w:tab/>
        <w:t>Dresser le bilan de l’action</w:t>
      </w:r>
    </w:p>
    <w:p w:rsidR="00195FDF" w:rsidRPr="002A72A5" w:rsidRDefault="00195FDF" w:rsidP="0036009B">
      <w:pPr>
        <w:pStyle w:val="TTextecourant"/>
        <w:rPr>
          <w:rFonts w:eastAsiaTheme="minorHAnsi"/>
        </w:rPr>
      </w:pPr>
      <w:r w:rsidRPr="002A72A5">
        <w:rPr>
          <w:rFonts w:eastAsiaTheme="minorHAnsi"/>
        </w:rPr>
        <w:t>La mesure de l’efficience de l’action de prospection est indispensable pour évaluer l’action menée. L’analyse des r</w:t>
      </w:r>
      <w:r w:rsidRPr="002A72A5">
        <w:rPr>
          <w:rFonts w:eastAsiaTheme="minorHAnsi"/>
        </w:rPr>
        <w:t>é</w:t>
      </w:r>
      <w:r w:rsidRPr="002A72A5">
        <w:rPr>
          <w:rFonts w:eastAsiaTheme="minorHAnsi"/>
        </w:rPr>
        <w:t>sultats conduira l’entreprise à corriger ses erreurs et, ainsi, à améliorer les futures actions commerciales.</w:t>
      </w:r>
    </w:p>
    <w:p w:rsidR="00195FDF" w:rsidRPr="002A72A5" w:rsidRDefault="00195FDF" w:rsidP="0036009B">
      <w:pPr>
        <w:pStyle w:val="TTextecourant"/>
      </w:pPr>
      <w:r w:rsidRPr="002A72A5">
        <w:t>Différents indicateurs peuvent être utilisés et mis en scène dans un tableau de bord illustré de graphiques.</w:t>
      </w:r>
    </w:p>
    <w:tbl>
      <w:tblPr>
        <w:tblW w:w="9857" w:type="dxa"/>
        <w:tblInd w:w="-5" w:type="dxa"/>
        <w:tblCellMar>
          <w:left w:w="70" w:type="dxa"/>
          <w:right w:w="70" w:type="dxa"/>
        </w:tblCellMar>
        <w:tblLook w:val="04A0" w:firstRow="1" w:lastRow="0" w:firstColumn="1" w:lastColumn="0" w:noHBand="0" w:noVBand="1"/>
      </w:tblPr>
      <w:tblGrid>
        <w:gridCol w:w="4328"/>
        <w:gridCol w:w="5529"/>
      </w:tblGrid>
      <w:tr w:rsidR="00195FDF" w:rsidRPr="002A72A5" w:rsidTr="00707B7E">
        <w:trPr>
          <w:trHeight w:val="341"/>
        </w:trPr>
        <w:tc>
          <w:tcPr>
            <w:tcW w:w="432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Taux de remontée des courriers</w:t>
            </w:r>
          </w:p>
        </w:tc>
        <w:tc>
          <w:tcPr>
            <w:tcW w:w="5529" w:type="dxa"/>
            <w:tcBorders>
              <w:top w:val="single" w:sz="4" w:space="0" w:color="auto"/>
              <w:left w:val="single" w:sz="4" w:space="0" w:color="auto"/>
              <w:bottom w:val="single" w:sz="4" w:space="0" w:color="auto"/>
              <w:right w:val="single" w:sz="4" w:space="0" w:color="auto"/>
            </w:tcBorders>
            <w:shd w:val="clear" w:color="auto" w:fill="FFFFFF"/>
            <w:vAlign w:val="bottom"/>
            <w:hideMark/>
          </w:tcPr>
          <w:p w:rsidR="00195FDF" w:rsidRPr="002A72A5" w:rsidRDefault="00195FDF" w:rsidP="0036009B">
            <w:pPr>
              <w:pStyle w:val="Tableaucourant"/>
            </w:pPr>
            <w:r w:rsidRPr="002A72A5">
              <w:t>Nombre de demandes de RDV/Nombre de courriers envoyés</w:t>
            </w:r>
          </w:p>
        </w:tc>
      </w:tr>
      <w:tr w:rsidR="00195FDF" w:rsidRPr="002A72A5" w:rsidTr="00707B7E">
        <w:trPr>
          <w:trHeight w:val="372"/>
        </w:trPr>
        <w:tc>
          <w:tcPr>
            <w:tcW w:w="4328" w:type="dxa"/>
            <w:tcBorders>
              <w:top w:val="nil"/>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Taux de relance téléphonique</w:t>
            </w:r>
          </w:p>
        </w:tc>
        <w:tc>
          <w:tcPr>
            <w:tcW w:w="5529" w:type="dxa"/>
            <w:tcBorders>
              <w:top w:val="nil"/>
              <w:left w:val="single" w:sz="4" w:space="0" w:color="auto"/>
              <w:bottom w:val="single" w:sz="4" w:space="0" w:color="auto"/>
              <w:right w:val="single" w:sz="4" w:space="0" w:color="auto"/>
            </w:tcBorders>
            <w:shd w:val="clear" w:color="auto" w:fill="FFFFFF"/>
            <w:vAlign w:val="bottom"/>
            <w:hideMark/>
          </w:tcPr>
          <w:p w:rsidR="00195FDF" w:rsidRPr="002A72A5" w:rsidRDefault="00195FDF" w:rsidP="0036009B">
            <w:pPr>
              <w:pStyle w:val="Tableaucourant"/>
            </w:pPr>
            <w:r w:rsidRPr="002A72A5">
              <w:t>Nombre d'appels téléphoniques/Nombre de contacts</w:t>
            </w:r>
          </w:p>
        </w:tc>
      </w:tr>
      <w:tr w:rsidR="00195FDF" w:rsidRPr="002A72A5" w:rsidTr="00707B7E">
        <w:trPr>
          <w:trHeight w:val="325"/>
        </w:trPr>
        <w:tc>
          <w:tcPr>
            <w:tcW w:w="4328" w:type="dxa"/>
            <w:tcBorders>
              <w:top w:val="nil"/>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Taux de contact</w:t>
            </w:r>
          </w:p>
        </w:tc>
        <w:tc>
          <w:tcPr>
            <w:tcW w:w="5529" w:type="dxa"/>
            <w:tcBorders>
              <w:top w:val="nil"/>
              <w:left w:val="single" w:sz="4" w:space="0" w:color="auto"/>
              <w:bottom w:val="single" w:sz="4" w:space="0" w:color="auto"/>
              <w:right w:val="single" w:sz="4" w:space="0" w:color="auto"/>
            </w:tcBorders>
            <w:shd w:val="clear" w:color="auto" w:fill="FFFFFF"/>
            <w:vAlign w:val="bottom"/>
            <w:hideMark/>
          </w:tcPr>
          <w:p w:rsidR="00195FDF" w:rsidRPr="002A72A5" w:rsidRDefault="00195FDF" w:rsidP="0036009B">
            <w:pPr>
              <w:pStyle w:val="Tableaucourant"/>
            </w:pPr>
            <w:r w:rsidRPr="002A72A5">
              <w:t>Nombre de contacts effectués/Nombre total de pro</w:t>
            </w:r>
            <w:r w:rsidRPr="002A72A5">
              <w:t>s</w:t>
            </w:r>
            <w:r w:rsidRPr="002A72A5">
              <w:t>pects</w:t>
            </w:r>
          </w:p>
        </w:tc>
      </w:tr>
      <w:tr w:rsidR="00195FDF" w:rsidRPr="002A72A5" w:rsidTr="00707B7E">
        <w:trPr>
          <w:trHeight w:val="414"/>
        </w:trPr>
        <w:tc>
          <w:tcPr>
            <w:tcW w:w="4328" w:type="dxa"/>
            <w:tcBorders>
              <w:top w:val="nil"/>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Taux de transformation des appels en v</w:t>
            </w:r>
            <w:r w:rsidRPr="002A72A5">
              <w:t>i</w:t>
            </w:r>
            <w:r w:rsidRPr="002A72A5">
              <w:t>sites</w:t>
            </w:r>
          </w:p>
        </w:tc>
        <w:tc>
          <w:tcPr>
            <w:tcW w:w="5529" w:type="dxa"/>
            <w:tcBorders>
              <w:top w:val="nil"/>
              <w:left w:val="single" w:sz="4" w:space="0" w:color="auto"/>
              <w:bottom w:val="single" w:sz="4" w:space="0" w:color="auto"/>
              <w:right w:val="single" w:sz="4" w:space="0" w:color="auto"/>
            </w:tcBorders>
            <w:shd w:val="clear" w:color="auto" w:fill="FFFFFF"/>
            <w:noWrap/>
            <w:vAlign w:val="bottom"/>
            <w:hideMark/>
          </w:tcPr>
          <w:p w:rsidR="00195FDF" w:rsidRPr="002A72A5" w:rsidRDefault="00195FDF" w:rsidP="0036009B">
            <w:pPr>
              <w:pStyle w:val="Tableaucourant"/>
            </w:pPr>
            <w:r w:rsidRPr="002A72A5">
              <w:t>Nombre de visites obtenues/Nombre d'appels</w:t>
            </w:r>
          </w:p>
        </w:tc>
      </w:tr>
      <w:tr w:rsidR="00195FDF" w:rsidRPr="002A72A5" w:rsidTr="00707B7E">
        <w:trPr>
          <w:trHeight w:val="382"/>
        </w:trPr>
        <w:tc>
          <w:tcPr>
            <w:tcW w:w="4328" w:type="dxa"/>
            <w:tcBorders>
              <w:top w:val="nil"/>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Panier moyen par client</w:t>
            </w:r>
          </w:p>
        </w:tc>
        <w:tc>
          <w:tcPr>
            <w:tcW w:w="5529" w:type="dxa"/>
            <w:tcBorders>
              <w:top w:val="nil"/>
              <w:left w:val="single" w:sz="4" w:space="0" w:color="auto"/>
              <w:bottom w:val="single" w:sz="4" w:space="0" w:color="auto"/>
              <w:right w:val="single" w:sz="4" w:space="0" w:color="auto"/>
            </w:tcBorders>
            <w:shd w:val="clear" w:color="auto" w:fill="FFFFFF"/>
            <w:noWrap/>
            <w:vAlign w:val="bottom"/>
            <w:hideMark/>
          </w:tcPr>
          <w:p w:rsidR="00195FDF" w:rsidRPr="002A72A5" w:rsidRDefault="00195FDF" w:rsidP="0036009B">
            <w:pPr>
              <w:pStyle w:val="Tableaucourant"/>
            </w:pPr>
            <w:r w:rsidRPr="002A72A5">
              <w:t>CA total/Nombre de clients obtenus</w:t>
            </w:r>
          </w:p>
        </w:tc>
      </w:tr>
      <w:tr w:rsidR="00195FDF" w:rsidRPr="002A72A5" w:rsidTr="00707B7E">
        <w:trPr>
          <w:trHeight w:val="311"/>
        </w:trPr>
        <w:tc>
          <w:tcPr>
            <w:tcW w:w="4328" w:type="dxa"/>
            <w:tcBorders>
              <w:top w:val="nil"/>
              <w:left w:val="single" w:sz="4" w:space="0" w:color="auto"/>
              <w:bottom w:val="single" w:sz="4" w:space="0" w:color="auto"/>
              <w:right w:val="single" w:sz="4" w:space="0" w:color="auto"/>
            </w:tcBorders>
            <w:shd w:val="clear" w:color="auto" w:fill="auto"/>
            <w:vAlign w:val="center"/>
          </w:tcPr>
          <w:p w:rsidR="00195FDF" w:rsidRPr="002A72A5" w:rsidRDefault="00195FDF" w:rsidP="0036009B">
            <w:pPr>
              <w:pStyle w:val="Tableautetiere"/>
            </w:pPr>
            <w:r w:rsidRPr="002A72A5">
              <w:t>CA HT réalisé</w:t>
            </w:r>
          </w:p>
        </w:tc>
        <w:tc>
          <w:tcPr>
            <w:tcW w:w="5529" w:type="dxa"/>
            <w:tcBorders>
              <w:top w:val="nil"/>
              <w:left w:val="single" w:sz="4" w:space="0" w:color="auto"/>
              <w:bottom w:val="single" w:sz="4" w:space="0" w:color="auto"/>
              <w:right w:val="single" w:sz="4" w:space="0" w:color="auto"/>
            </w:tcBorders>
            <w:shd w:val="clear" w:color="auto" w:fill="FFFFFF"/>
            <w:noWrap/>
            <w:vAlign w:val="bottom"/>
          </w:tcPr>
          <w:p w:rsidR="00195FDF" w:rsidRPr="002A72A5" w:rsidRDefault="00195FDF" w:rsidP="0036009B">
            <w:pPr>
              <w:pStyle w:val="Tableaucourant"/>
            </w:pPr>
            <w:r w:rsidRPr="002A72A5">
              <w:t>Total des ventes réalisées</w:t>
            </w:r>
          </w:p>
        </w:tc>
      </w:tr>
      <w:tr w:rsidR="00195FDF" w:rsidRPr="002A72A5" w:rsidTr="00707B7E">
        <w:trPr>
          <w:trHeight w:val="345"/>
        </w:trPr>
        <w:tc>
          <w:tcPr>
            <w:tcW w:w="4328" w:type="dxa"/>
            <w:tcBorders>
              <w:top w:val="nil"/>
              <w:left w:val="single" w:sz="4" w:space="0" w:color="auto"/>
              <w:bottom w:val="single" w:sz="4" w:space="0" w:color="auto"/>
              <w:right w:val="single" w:sz="4" w:space="0" w:color="auto"/>
            </w:tcBorders>
            <w:shd w:val="clear" w:color="auto" w:fill="auto"/>
            <w:vAlign w:val="center"/>
          </w:tcPr>
          <w:p w:rsidR="00195FDF" w:rsidRPr="002A72A5" w:rsidRDefault="00195FDF" w:rsidP="0036009B">
            <w:pPr>
              <w:pStyle w:val="Tableautetiere"/>
            </w:pPr>
            <w:r w:rsidRPr="002A72A5">
              <w:t>Marge réalisée</w:t>
            </w:r>
          </w:p>
        </w:tc>
        <w:tc>
          <w:tcPr>
            <w:tcW w:w="5529" w:type="dxa"/>
            <w:tcBorders>
              <w:top w:val="nil"/>
              <w:left w:val="single" w:sz="4" w:space="0" w:color="auto"/>
              <w:bottom w:val="single" w:sz="4" w:space="0" w:color="auto"/>
              <w:right w:val="single" w:sz="4" w:space="0" w:color="auto"/>
            </w:tcBorders>
            <w:shd w:val="clear" w:color="auto" w:fill="FFFFFF"/>
            <w:noWrap/>
            <w:vAlign w:val="bottom"/>
          </w:tcPr>
          <w:p w:rsidR="00195FDF" w:rsidRPr="002A72A5" w:rsidRDefault="00195FDF" w:rsidP="0036009B">
            <w:pPr>
              <w:pStyle w:val="Tableaucourant"/>
            </w:pPr>
            <w:r w:rsidRPr="002A72A5">
              <w:t>CAHT – Coût de l’opération</w:t>
            </w:r>
          </w:p>
        </w:tc>
      </w:tr>
      <w:tr w:rsidR="00195FDF" w:rsidRPr="002A72A5" w:rsidTr="00707B7E">
        <w:trPr>
          <w:trHeight w:val="335"/>
        </w:trPr>
        <w:tc>
          <w:tcPr>
            <w:tcW w:w="4328" w:type="dxa"/>
            <w:tcBorders>
              <w:top w:val="nil"/>
              <w:left w:val="single" w:sz="4" w:space="0" w:color="auto"/>
              <w:bottom w:val="single" w:sz="4" w:space="0" w:color="auto"/>
              <w:right w:val="single" w:sz="4" w:space="0" w:color="auto"/>
            </w:tcBorders>
            <w:shd w:val="clear" w:color="auto" w:fill="auto"/>
            <w:vAlign w:val="center"/>
            <w:hideMark/>
          </w:tcPr>
          <w:p w:rsidR="00195FDF" w:rsidRPr="002A72A5" w:rsidRDefault="00195FDF" w:rsidP="0036009B">
            <w:pPr>
              <w:pStyle w:val="Tableautetiere"/>
            </w:pPr>
            <w:r w:rsidRPr="002A72A5">
              <w:t>Coût d’acquisition d'un client</w:t>
            </w:r>
          </w:p>
        </w:tc>
        <w:tc>
          <w:tcPr>
            <w:tcW w:w="5529" w:type="dxa"/>
            <w:tcBorders>
              <w:top w:val="nil"/>
              <w:left w:val="single" w:sz="4" w:space="0" w:color="auto"/>
              <w:bottom w:val="single" w:sz="4" w:space="0" w:color="auto"/>
              <w:right w:val="single" w:sz="4" w:space="0" w:color="auto"/>
            </w:tcBorders>
            <w:shd w:val="clear" w:color="auto" w:fill="FFFFFF"/>
            <w:noWrap/>
            <w:vAlign w:val="bottom"/>
            <w:hideMark/>
          </w:tcPr>
          <w:p w:rsidR="00195FDF" w:rsidRPr="002A72A5" w:rsidRDefault="00195FDF" w:rsidP="0036009B">
            <w:pPr>
              <w:pStyle w:val="Tableaucourant"/>
            </w:pPr>
            <w:r w:rsidRPr="002A72A5">
              <w:t>Coût opération/Nombre de clients obtenus</w:t>
            </w:r>
          </w:p>
        </w:tc>
      </w:tr>
      <w:tr w:rsidR="00195FDF" w:rsidRPr="002A72A5" w:rsidTr="00707B7E">
        <w:trPr>
          <w:trHeight w:val="70"/>
        </w:trPr>
        <w:tc>
          <w:tcPr>
            <w:tcW w:w="4328" w:type="dxa"/>
            <w:tcBorders>
              <w:top w:val="nil"/>
              <w:left w:val="single" w:sz="4" w:space="0" w:color="auto"/>
              <w:bottom w:val="single" w:sz="4" w:space="0" w:color="auto"/>
              <w:right w:val="single" w:sz="4" w:space="0" w:color="auto"/>
            </w:tcBorders>
            <w:shd w:val="clear" w:color="auto" w:fill="auto"/>
            <w:vAlign w:val="center"/>
          </w:tcPr>
          <w:p w:rsidR="00195FDF" w:rsidRPr="002A72A5" w:rsidRDefault="00195FDF" w:rsidP="0036009B">
            <w:pPr>
              <w:pStyle w:val="Tableautetiere"/>
            </w:pPr>
            <w:r w:rsidRPr="002A72A5">
              <w:t xml:space="preserve">ROI (return on </w:t>
            </w:r>
            <w:proofErr w:type="spellStart"/>
            <w:r w:rsidRPr="002A72A5">
              <w:t>investment</w:t>
            </w:r>
            <w:proofErr w:type="spellEnd"/>
            <w:r w:rsidRPr="002A72A5">
              <w:t xml:space="preserve"> = retour sur investissement)</w:t>
            </w:r>
          </w:p>
        </w:tc>
        <w:tc>
          <w:tcPr>
            <w:tcW w:w="5529" w:type="dxa"/>
            <w:tcBorders>
              <w:top w:val="nil"/>
              <w:left w:val="single" w:sz="4" w:space="0" w:color="auto"/>
              <w:bottom w:val="single" w:sz="4" w:space="0" w:color="auto"/>
              <w:right w:val="single" w:sz="4" w:space="0" w:color="auto"/>
            </w:tcBorders>
            <w:shd w:val="clear" w:color="auto" w:fill="FFFFFF"/>
            <w:vAlign w:val="bottom"/>
          </w:tcPr>
          <w:p w:rsidR="00195FDF" w:rsidRPr="002A72A5" w:rsidRDefault="00195FDF" w:rsidP="0036009B">
            <w:pPr>
              <w:pStyle w:val="Tableaucourant"/>
            </w:pPr>
            <w:r w:rsidRPr="002A72A5">
              <w:t>Marge commerciale/Coût de l’opération</w:t>
            </w:r>
          </w:p>
        </w:tc>
      </w:tr>
      <w:tr w:rsidR="00195FDF" w:rsidRPr="002A72A5" w:rsidTr="00707B7E">
        <w:trPr>
          <w:trHeight w:val="70"/>
        </w:trPr>
        <w:tc>
          <w:tcPr>
            <w:tcW w:w="4328" w:type="dxa"/>
            <w:tcBorders>
              <w:top w:val="nil"/>
              <w:left w:val="single" w:sz="4" w:space="0" w:color="auto"/>
              <w:bottom w:val="single" w:sz="4" w:space="0" w:color="auto"/>
              <w:right w:val="single" w:sz="4" w:space="0" w:color="auto"/>
            </w:tcBorders>
            <w:shd w:val="clear" w:color="auto" w:fill="auto"/>
            <w:vAlign w:val="center"/>
          </w:tcPr>
          <w:p w:rsidR="00195FDF" w:rsidRPr="002A72A5" w:rsidRDefault="00195FDF" w:rsidP="0036009B">
            <w:pPr>
              <w:pStyle w:val="Tableautetiere"/>
            </w:pPr>
            <w:r w:rsidRPr="002A72A5">
              <w:t>Taux de réalisation des objectifs</w:t>
            </w:r>
          </w:p>
        </w:tc>
        <w:tc>
          <w:tcPr>
            <w:tcW w:w="5529" w:type="dxa"/>
            <w:tcBorders>
              <w:top w:val="nil"/>
              <w:left w:val="single" w:sz="4" w:space="0" w:color="auto"/>
              <w:bottom w:val="single" w:sz="4" w:space="0" w:color="auto"/>
              <w:right w:val="single" w:sz="4" w:space="0" w:color="auto"/>
            </w:tcBorders>
            <w:shd w:val="clear" w:color="auto" w:fill="FFFFFF"/>
            <w:vAlign w:val="bottom"/>
          </w:tcPr>
          <w:p w:rsidR="00195FDF" w:rsidRPr="002A72A5" w:rsidRDefault="00195FDF" w:rsidP="0036009B">
            <w:pPr>
              <w:pStyle w:val="Tableaucourant"/>
            </w:pPr>
            <w:r w:rsidRPr="002A72A5">
              <w:t>Objectifs réalisés/Objectifs à atteindre × 100</w:t>
            </w:r>
          </w:p>
        </w:tc>
      </w:tr>
    </w:tbl>
    <w:p w:rsidR="00806FB8" w:rsidRPr="00195FDF" w:rsidRDefault="00806FB8" w:rsidP="00195FDF"/>
    <w:sectPr w:rsidR="00806FB8" w:rsidRPr="00195FDF" w:rsidSect="004016EA">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4FB2" w:rsidRDefault="00B24FB2" w:rsidP="004016EA">
      <w:r>
        <w:separator/>
      </w:r>
    </w:p>
  </w:endnote>
  <w:endnote w:type="continuationSeparator" w:id="0">
    <w:p w:rsidR="00B24FB2" w:rsidRDefault="00B24FB2"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9B4EA0">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9B4EA0">
      <w:rPr>
        <w:rStyle w:val="Folio"/>
        <w:b/>
        <w:bCs/>
        <w:noProof/>
      </w:rPr>
      <w:t>2</w:t>
    </w:r>
    <w:r>
      <w:rPr>
        <w:rStyle w:val="Folio"/>
        <w:b/>
        <w:bCs/>
      </w:rPr>
      <w:fldChar w:fldCharType="end"/>
    </w:r>
    <w:r w:rsidR="004016EA">
      <w:rPr>
        <w:rStyle w:val="Folio"/>
        <w:b/>
        <w:bCs/>
      </w:rPr>
      <w:t xml:space="preserve">  </w:t>
    </w:r>
    <w:r w:rsidR="004016EA">
      <w:rPr>
        <w:w w:val="100"/>
      </w:rPr>
      <w:tab/>
    </w:r>
    <w:r w:rsidR="00A23D42">
      <w:rPr>
        <w:w w:val="100"/>
      </w:rPr>
      <w:t>Situation pr</w:t>
    </w:r>
    <w:r w:rsidR="009B4EA0">
      <w:rPr>
        <w:w w:val="100"/>
      </w:rPr>
      <w:t xml:space="preserve">ofessionnelle </w:t>
    </w:r>
    <w:proofErr w:type="spellStart"/>
    <w:r w:rsidR="009B4EA0">
      <w:rPr>
        <w:w w:val="100"/>
      </w:rPr>
      <w:t>Urban</w:t>
    </w:r>
    <w:proofErr w:type="spellEnd"/>
    <w:r w:rsidR="009B4EA0">
      <w:rPr>
        <w:w w:val="100"/>
      </w:rPr>
      <w:t xml:space="preserve"> Green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0</w:t>
    </w:r>
    <w:r w:rsidR="00A23D42">
      <w:rPr>
        <w:rStyle w:val="Bold"/>
      </w:rPr>
      <w:t>1</w:t>
    </w:r>
    <w:r>
      <w:rPr>
        <w:rStyle w:val="Bold"/>
      </w:rPr>
      <w:t xml:space="preserve"> </w:t>
    </w:r>
    <w:r w:rsidR="00A23D42">
      <w:t>–</w:t>
    </w:r>
    <w:r>
      <w:t xml:space="preserve"> </w:t>
    </w:r>
    <w:r w:rsidR="00A23D42" w:rsidRPr="002A72A5">
      <w:t>Organisation de la prospection et prospection clientèle</w:t>
    </w:r>
    <w:r>
      <w:tab/>
    </w:r>
    <w:r w:rsidR="006C0120">
      <w:rPr>
        <w:rStyle w:val="Folio"/>
      </w:rPr>
      <w:fldChar w:fldCharType="begin"/>
    </w:r>
    <w:r>
      <w:rPr>
        <w:rStyle w:val="Folio"/>
      </w:rPr>
      <w:instrText xml:space="preserve"> PAGE </w:instrText>
    </w:r>
    <w:r w:rsidR="006C0120">
      <w:rPr>
        <w:rStyle w:val="Folio"/>
      </w:rPr>
      <w:fldChar w:fldCharType="separate"/>
    </w:r>
    <w:r w:rsidR="009B4EA0">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4FB2" w:rsidRDefault="00B24FB2" w:rsidP="004016EA">
      <w:r>
        <w:separator/>
      </w:r>
    </w:p>
  </w:footnote>
  <w:footnote w:type="continuationSeparator" w:id="0">
    <w:p w:rsidR="00B24FB2" w:rsidRDefault="00B24FB2"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95FDF"/>
    <w:rsid w:val="001A0B80"/>
    <w:rsid w:val="0024646B"/>
    <w:rsid w:val="00257766"/>
    <w:rsid w:val="0030498C"/>
    <w:rsid w:val="00324F73"/>
    <w:rsid w:val="0036009B"/>
    <w:rsid w:val="00394FED"/>
    <w:rsid w:val="003A6641"/>
    <w:rsid w:val="004016EA"/>
    <w:rsid w:val="004A1FB0"/>
    <w:rsid w:val="004E20A9"/>
    <w:rsid w:val="004E2AD9"/>
    <w:rsid w:val="006B172B"/>
    <w:rsid w:val="006B7D00"/>
    <w:rsid w:val="006C0120"/>
    <w:rsid w:val="00722537"/>
    <w:rsid w:val="00757BA2"/>
    <w:rsid w:val="007763D4"/>
    <w:rsid w:val="0079080C"/>
    <w:rsid w:val="00806FB8"/>
    <w:rsid w:val="00810809"/>
    <w:rsid w:val="008554DD"/>
    <w:rsid w:val="008B6E6C"/>
    <w:rsid w:val="009215F2"/>
    <w:rsid w:val="009B4EA0"/>
    <w:rsid w:val="009C3943"/>
    <w:rsid w:val="009C7BAC"/>
    <w:rsid w:val="00A23D42"/>
    <w:rsid w:val="00AD6532"/>
    <w:rsid w:val="00B24FB2"/>
    <w:rsid w:val="00B81F3B"/>
    <w:rsid w:val="00BD34C9"/>
    <w:rsid w:val="00BF47D4"/>
    <w:rsid w:val="00C02E8D"/>
    <w:rsid w:val="00C20988"/>
    <w:rsid w:val="00C37BCE"/>
    <w:rsid w:val="00CF04A9"/>
    <w:rsid w:val="00CF17D4"/>
    <w:rsid w:val="00D1160A"/>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nhideWhenUsed/>
    <w:rsid w:val="00195FD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nhideWhenUsed/>
    <w:rsid w:val="00195F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nil.fr/sites/default/files/atoms/files/commerce_et_donnees_personelles.pd"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cnil.fr/fr/la-prospection-commerciale-par-courrier-electronique" TargetMode="External"/><Relationship Id="rId4" Type="http://schemas.microsoft.com/office/2007/relationships/stylesWithEffects" Target="stylesWithEffects.xml"/><Relationship Id="rId9" Type="http://schemas.openxmlformats.org/officeDocument/2006/relationships/hyperlink" Target="https://www.cnil.fr/fr/declaration/ns-048-fichiers-clients-prospects-et-vente-en-lign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D6740D-2EDD-43BA-804C-6DD535532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3</TotalTime>
  <Pages>2</Pages>
  <Words>1009</Words>
  <Characters>5551</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6547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5</cp:revision>
  <cp:lastPrinted>2011-10-07T12:04:00Z</cp:lastPrinted>
  <dcterms:created xsi:type="dcterms:W3CDTF">2018-04-23T14:14:00Z</dcterms:created>
  <dcterms:modified xsi:type="dcterms:W3CDTF">2018-04-23T14:16:00Z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