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8DE" w:rsidRDefault="003558DE" w:rsidP="003558DE">
      <w:pPr>
        <w:pStyle w:val="00Chaptitre"/>
      </w:pPr>
      <w:r w:rsidRPr="00E0411D">
        <w:t>Synthèse</w:t>
      </w:r>
    </w:p>
    <w:p w:rsidR="003558DE" w:rsidRPr="003558DE" w:rsidRDefault="003558DE" w:rsidP="003558DE">
      <w:pPr>
        <w:pStyle w:val="04Exercicestitre"/>
      </w:pPr>
      <w:r>
        <w:t>Chapitre 9</w:t>
      </w:r>
      <w:r>
        <w:tab/>
      </w:r>
      <w:r>
        <w:t>Étude des projets d’achats</w:t>
      </w:r>
      <w:r>
        <w:t xml:space="preserve"> </w:t>
      </w:r>
      <w:r>
        <w:t>et d’investissements</w:t>
      </w:r>
    </w:p>
    <w:p w:rsidR="003558DE" w:rsidRPr="00E0411D" w:rsidRDefault="003558DE" w:rsidP="003558DE">
      <w:pPr>
        <w:pStyle w:val="TTextecourant"/>
      </w:pPr>
      <w:r w:rsidRPr="00E0411D">
        <w:t>La fonction achats recouvre l’ensemble des tâches qui ont pour objet de procurer, dans les meilleures conditions et à moindre coût, les matières, matériaux, composants, fournitures, outillages et équipements, ainsi qu’une partie des pre</w:t>
      </w:r>
      <w:r w:rsidRPr="00E0411D">
        <w:t>s</w:t>
      </w:r>
      <w:r w:rsidRPr="00E0411D">
        <w:t>tations de services extérieurs dont l’entreprise a besoin.</w:t>
      </w:r>
    </w:p>
    <w:p w:rsidR="003558DE" w:rsidRPr="00E0411D" w:rsidRDefault="003558DE" w:rsidP="003558DE">
      <w:pPr>
        <w:pStyle w:val="TTextecourant"/>
      </w:pPr>
      <w:r w:rsidRPr="00E0411D">
        <w:t>En Europe, on considère que les achats représentent en moyenne 60 % du CA des entreprises.</w:t>
      </w:r>
    </w:p>
    <w:p w:rsidR="003558DE" w:rsidRPr="00E0411D" w:rsidRDefault="003558DE" w:rsidP="003558DE">
      <w:pPr>
        <w:pStyle w:val="05ExerciceTitre"/>
      </w:pPr>
      <w:r>
        <w:t>I</w:t>
      </w:r>
      <w:r>
        <w:tab/>
      </w:r>
      <w:r w:rsidRPr="00E0411D">
        <w:t>Historique de la fonction achats</w:t>
      </w:r>
    </w:p>
    <w:p w:rsidR="003558DE" w:rsidRPr="00E0411D" w:rsidRDefault="003558DE" w:rsidP="003558DE">
      <w:pPr>
        <w:pStyle w:val="06Questionenonce"/>
      </w:pPr>
      <w:r w:rsidRPr="00E0411D">
        <w:t>1 La fonction approvisionnement</w:t>
      </w:r>
    </w:p>
    <w:p w:rsidR="003558DE" w:rsidRPr="00E0411D" w:rsidRDefault="003558DE" w:rsidP="003558DE">
      <w:pPr>
        <w:pStyle w:val="TTextecourant"/>
      </w:pPr>
      <w:r w:rsidRPr="00E0411D">
        <w:t>Henri Fayol (1841-1925) distingue cinq fonctions dans l’entreprise : technique, financière, comptable, de sécurité et commerciale, qui comprend aussi bien les achats que l’administration des ventes de l’entreprise. La fonction achats est alors occupée par des approvisionneurs spécialisés dans le suivi des approvisionnements et la gestion des stocks. C’est une fonction plutôt administrative et subalterne.</w:t>
      </w:r>
    </w:p>
    <w:p w:rsidR="003558DE" w:rsidRPr="00E0411D" w:rsidRDefault="003558DE" w:rsidP="003558DE">
      <w:pPr>
        <w:pStyle w:val="06Questionenonce"/>
      </w:pPr>
      <w:r>
        <w:t>2 Le d</w:t>
      </w:r>
      <w:r w:rsidRPr="00E0411D">
        <w:t>éveloppement de la fonction achats</w:t>
      </w:r>
    </w:p>
    <w:p w:rsidR="003558DE" w:rsidRPr="00E0411D" w:rsidRDefault="003558DE" w:rsidP="003558DE">
      <w:pPr>
        <w:pStyle w:val="TTextecourant"/>
      </w:pPr>
      <w:r w:rsidRPr="00E0411D">
        <w:t>Dès les années 1980, les travaux de Michael Porter ont positionné les achats comme l’une des cinq forces fondant la compétitivité stratégique des entreprises. Le métier d’acheteur est devenu alors stratégique et la professionnalisation s’accroît grâce au développement des systèmes d’information, qui favorisent l’avènement du e-</w:t>
      </w:r>
      <w:proofErr w:type="spellStart"/>
      <w:r w:rsidRPr="00E0411D">
        <w:t>procurement</w:t>
      </w:r>
      <w:proofErr w:type="spellEnd"/>
      <w:r w:rsidRPr="00E0411D">
        <w:t xml:space="preserve">, </w:t>
      </w:r>
      <w:proofErr w:type="gramStart"/>
      <w:r w:rsidRPr="00E0411D">
        <w:t>du e-</w:t>
      </w:r>
      <w:proofErr w:type="spellStart"/>
      <w:r w:rsidRPr="00E0411D">
        <w:t>sourcing</w:t>
      </w:r>
      <w:proofErr w:type="spellEnd"/>
      <w:proofErr w:type="gramEnd"/>
      <w:r w:rsidRPr="00E0411D">
        <w:t>.</w:t>
      </w:r>
    </w:p>
    <w:p w:rsidR="003558DE" w:rsidRPr="00E0411D" w:rsidRDefault="003558DE" w:rsidP="003558DE">
      <w:pPr>
        <w:pStyle w:val="TTextecourant"/>
      </w:pPr>
      <w:r w:rsidRPr="00E0411D">
        <w:t>Dorénavant, l’acheteur recherche, choisit, négocie les produits selon des critères définis en collaboration avec le se</w:t>
      </w:r>
      <w:r w:rsidRPr="00E0411D">
        <w:t>r</w:t>
      </w:r>
      <w:r w:rsidRPr="00E0411D">
        <w:t>vice vente ou le service production : qualité, coût, marge, délai de livraison. Il sélectionne les meilleurs fournisseurs qui répondent aux exigences requises, et négocie les conditions d’achat et d’approvisionnement en liaison avec les se</w:t>
      </w:r>
      <w:r w:rsidRPr="00E0411D">
        <w:t>r</w:t>
      </w:r>
      <w:r w:rsidRPr="00E0411D">
        <w:t>vices logistiques.</w:t>
      </w:r>
    </w:p>
    <w:p w:rsidR="003558DE" w:rsidRPr="00E0411D" w:rsidRDefault="003558DE" w:rsidP="003558DE">
      <w:pPr>
        <w:pStyle w:val="06Questionenonce"/>
      </w:pPr>
      <w:r w:rsidRPr="00E0411D">
        <w:t>3 Les années 2000</w:t>
      </w:r>
    </w:p>
    <w:p w:rsidR="003558DE" w:rsidRPr="00E0411D" w:rsidRDefault="003558DE" w:rsidP="003558DE">
      <w:pPr>
        <w:pStyle w:val="TTextecourant"/>
      </w:pPr>
      <w:r w:rsidRPr="00E0411D">
        <w:t>La très forte tendance des grands groupes à externaliser a accru l’importance de la fonction achats, par l’accroissement à la fois des budgets gérés et de la complexité des réseaux de fournisseurs concernés. De fait, la fonction devenait e</w:t>
      </w:r>
      <w:r w:rsidRPr="00E0411D">
        <w:t>s</w:t>
      </w:r>
      <w:r w:rsidRPr="00E0411D">
        <w:t>sentielle. Le fournisseur est devenu un partenaire dans un échange « gagnant-gagnant ».</w:t>
      </w:r>
    </w:p>
    <w:p w:rsidR="003558DE" w:rsidRPr="00E0411D" w:rsidRDefault="003558DE" w:rsidP="003558DE">
      <w:pPr>
        <w:pStyle w:val="05ExerciceTitre"/>
      </w:pPr>
      <w:r>
        <w:t>II</w:t>
      </w:r>
      <w:r>
        <w:tab/>
      </w:r>
      <w:r w:rsidRPr="00E0411D">
        <w:t>Les enjeux de la fonction achats</w:t>
      </w:r>
    </w:p>
    <w:p w:rsidR="003558DE" w:rsidRPr="00E0411D" w:rsidRDefault="003558DE" w:rsidP="003558DE">
      <w:pPr>
        <w:pStyle w:val="TTextecourant"/>
      </w:pPr>
      <w:r w:rsidRPr="00E0411D">
        <w:t>L’importance de la fonction achats peut s’appréhender à plusieurs niveaux :</w:t>
      </w:r>
    </w:p>
    <w:p w:rsidR="003558DE" w:rsidRPr="00E0411D" w:rsidRDefault="003558DE" w:rsidP="003558DE">
      <w:pPr>
        <w:pStyle w:val="TEnumpuce"/>
      </w:pPr>
      <w:r w:rsidRPr="00E0411D">
        <w:t>sur le plan financier : la politique d’achats contribue à la rentabilité de l’entreprise en influant sur les coûts des co</w:t>
      </w:r>
      <w:r w:rsidRPr="00E0411D">
        <w:t>m</w:t>
      </w:r>
      <w:r w:rsidRPr="00E0411D">
        <w:t>posants et donc sur la marge de l’entreprise. La massification des achats permet d’avoir un levier de négociation avec les fournisseurs, le suivi des dépenses et l’optimisation du processus d’achat permettent de réduire les dépenses liées aux achats ;</w:t>
      </w:r>
    </w:p>
    <w:p w:rsidR="003558DE" w:rsidRPr="00E0411D" w:rsidRDefault="003558DE" w:rsidP="003558DE">
      <w:pPr>
        <w:pStyle w:val="TEnumpuce"/>
      </w:pPr>
      <w:r w:rsidRPr="00E0411D">
        <w:t>sur le plan commercial : la fonction d’approvisionnement permet de fournir des produits de bonne qualité tout en évitant les ruptures de stocks (qui sont très mauvaises pour l’image d’une entreprise) ;</w:t>
      </w:r>
    </w:p>
    <w:p w:rsidR="003558DE" w:rsidRPr="00E0411D" w:rsidRDefault="003558DE" w:rsidP="003558DE">
      <w:pPr>
        <w:pStyle w:val="TEnumpuce"/>
      </w:pPr>
      <w:r w:rsidRPr="00E0411D">
        <w:t>sur le plan stratégique : la fonction achats va contribuer à la compétitivité de l’entreprise tant en termes de coûts que de délais ;</w:t>
      </w:r>
    </w:p>
    <w:p w:rsidR="003558DE" w:rsidRPr="00E0411D" w:rsidRDefault="003558DE" w:rsidP="003558DE">
      <w:pPr>
        <w:pStyle w:val="TEnumpuce"/>
      </w:pPr>
      <w:r w:rsidRPr="00E0411D">
        <w:t>sur le plan relationnel : la fonction achats entretient de nombreuses relations avec les fournisseurs, les relations avec les clients et les partenaires ainsi que les relations internes (avec la production, la finance, la direction générale…) ;</w:t>
      </w:r>
    </w:p>
    <w:p w:rsidR="003558DE" w:rsidRPr="00E0411D" w:rsidRDefault="003558DE" w:rsidP="003558DE">
      <w:pPr>
        <w:pStyle w:val="TEnumpuce"/>
      </w:pPr>
      <w:r w:rsidRPr="00E0411D">
        <w:t>sur le plan sociétal : les entreprises intègrent davantage les préoccupations sociales, environnementales et écon</w:t>
      </w:r>
      <w:r w:rsidRPr="00E0411D">
        <w:t>o</w:t>
      </w:r>
      <w:r w:rsidRPr="00E0411D">
        <w:t>miques dans leurs activités. Les achats deviennent de plus en plus responsables, durables, équitables et labellisés. Cette préoccupation peut s’exprimer sous la forme de « charte fournisseurs » par exemple.</w:t>
      </w:r>
    </w:p>
    <w:p w:rsidR="003558DE" w:rsidRPr="00E0411D" w:rsidRDefault="003558DE" w:rsidP="003558DE">
      <w:pPr>
        <w:pStyle w:val="05ExerciceTitre"/>
      </w:pPr>
      <w:r>
        <w:t>III</w:t>
      </w:r>
      <w:r>
        <w:tab/>
      </w:r>
      <w:r w:rsidRPr="00E0411D">
        <w:t>La typologie des achats</w:t>
      </w:r>
    </w:p>
    <w:p w:rsidR="003558DE" w:rsidRDefault="003558DE" w:rsidP="003558DE">
      <w:pPr>
        <w:pStyle w:val="TTextecourant"/>
        <w:rPr>
          <w:rFonts w:eastAsiaTheme="minorHAnsi"/>
        </w:rPr>
      </w:pPr>
      <w:r w:rsidRPr="00E0411D">
        <w:rPr>
          <w:rFonts w:eastAsiaTheme="minorHAnsi"/>
        </w:rPr>
        <w:t xml:space="preserve">La matrice de </w:t>
      </w:r>
      <w:proofErr w:type="spellStart"/>
      <w:r w:rsidRPr="00E0411D">
        <w:rPr>
          <w:rFonts w:eastAsiaTheme="minorHAnsi"/>
        </w:rPr>
        <w:t>Kraljic</w:t>
      </w:r>
      <w:proofErr w:type="spellEnd"/>
      <w:r w:rsidRPr="00E0411D">
        <w:rPr>
          <w:rFonts w:eastAsiaTheme="minorHAnsi"/>
        </w:rPr>
        <w:t xml:space="preserve"> est une représentation du portefeuille achats de l'entreprise. Elle met en parallèle deux dime</w:t>
      </w:r>
      <w:r w:rsidRPr="00E0411D">
        <w:rPr>
          <w:rFonts w:eastAsiaTheme="minorHAnsi"/>
        </w:rPr>
        <w:t>n</w:t>
      </w:r>
      <w:r w:rsidRPr="00E0411D">
        <w:rPr>
          <w:rFonts w:eastAsiaTheme="minorHAnsi"/>
        </w:rPr>
        <w:t>sions : l'importance stratégique de la famille d'achats en termes de valeur, et la complexité du marché fournisseur. L’intérêt est d’analyser le portefeuille des achats de l’entreprise pour recentrer ses efforts sur les produits et services qui impactent le plus l’organisation, d’externalisation les achats peu risqués et de sécuriser les achats stratégiques</w:t>
      </w:r>
      <w:r>
        <w:rPr>
          <w:rFonts w:eastAsiaTheme="minorHAnsi"/>
        </w:rPr>
        <w:t>.</w:t>
      </w:r>
    </w:p>
    <w:p w:rsidR="003558DE" w:rsidRPr="00E0411D" w:rsidRDefault="003558DE" w:rsidP="003558DE">
      <w:pPr>
        <w:pStyle w:val="TTextecourant"/>
        <w:rPr>
          <w:rFonts w:eastAsiaTheme="minorHAnsi"/>
        </w:rPr>
      </w:pPr>
    </w:p>
    <w:p w:rsidR="003558DE" w:rsidRPr="00E0411D" w:rsidRDefault="003558DE" w:rsidP="003558DE"/>
    <w:p w:rsidR="003558DE" w:rsidRPr="00E0411D" w:rsidRDefault="003558DE" w:rsidP="003558DE">
      <w:r w:rsidRPr="00E0411D">
        <w:rPr>
          <w:noProof/>
        </w:rPr>
        <w:lastRenderedPageBreak/>
        <mc:AlternateContent>
          <mc:Choice Requires="wps">
            <w:drawing>
              <wp:anchor distT="0" distB="0" distL="114300" distR="114300" simplePos="0" relativeHeight="251659264" behindDoc="0" locked="0" layoutInCell="1" allowOverlap="1" wp14:anchorId="7394B3BB" wp14:editId="2ABFFD8D">
                <wp:simplePos x="0" y="0"/>
                <wp:positionH relativeFrom="column">
                  <wp:posOffset>456896</wp:posOffset>
                </wp:positionH>
                <wp:positionV relativeFrom="paragraph">
                  <wp:posOffset>-82633</wp:posOffset>
                </wp:positionV>
                <wp:extent cx="9525" cy="2638425"/>
                <wp:effectExtent l="76200" t="38100" r="66675" b="28575"/>
                <wp:wrapNone/>
                <wp:docPr id="4" name="Connecteur droit avec flèche 4"/>
                <wp:cNvGraphicFramePr/>
                <a:graphic xmlns:a="http://schemas.openxmlformats.org/drawingml/2006/main">
                  <a:graphicData uri="http://schemas.microsoft.com/office/word/2010/wordprocessingShape">
                    <wps:wsp>
                      <wps:cNvCnPr/>
                      <wps:spPr>
                        <a:xfrm flipH="1" flipV="1">
                          <a:off x="0" y="0"/>
                          <a:ext cx="9525" cy="2638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4" o:spid="_x0000_s1026" type="#_x0000_t32" style="position:absolute;margin-left:36pt;margin-top:-6.5pt;width:.75pt;height:207.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" strokecolor="#4579b8 [3044]">
                <v:stroke endarrow="block"/>
              </v:shape>
            </w:pict>
          </mc:Fallback>
        </mc:AlternateContent>
      </w:r>
      <w:r w:rsidRPr="00E0411D">
        <w:rPr>
          <w:noProof/>
        </w:rPr>
        <mc:AlternateContent>
          <mc:Choice Requires="wps">
            <w:drawing>
              <wp:anchor distT="0" distB="0" distL="114300" distR="114300" simplePos="0" relativeHeight="251662336" behindDoc="0" locked="0" layoutInCell="1" allowOverlap="1" wp14:anchorId="4E60A5F1" wp14:editId="6CCAFC78">
                <wp:simplePos x="0" y="0"/>
                <wp:positionH relativeFrom="margin">
                  <wp:posOffset>1691958</wp:posOffset>
                </wp:positionH>
                <wp:positionV relativeFrom="paragraph">
                  <wp:posOffset>1622743</wp:posOffset>
                </wp:positionV>
                <wp:extent cx="342900" cy="2371725"/>
                <wp:effectExtent l="0" t="4763" r="14288" b="14287"/>
                <wp:wrapNone/>
                <wp:docPr id="7" name="Zone de texte 7"/>
                <wp:cNvGraphicFramePr/>
                <a:graphic xmlns:a="http://schemas.openxmlformats.org/drawingml/2006/main">
                  <a:graphicData uri="http://schemas.microsoft.com/office/word/2010/wordprocessingShape">
                    <wps:wsp>
                      <wps:cNvSpPr txBox="1"/>
                      <wps:spPr>
                        <a:xfrm rot="5400000">
                          <a:off x="0" y="0"/>
                          <a:ext cx="342900" cy="2371725"/>
                        </a:xfrm>
                        <a:prstGeom prst="rect">
                          <a:avLst/>
                        </a:prstGeom>
                        <a:solidFill>
                          <a:sysClr val="window" lastClr="FFFFFF"/>
                        </a:solidFill>
                        <a:ln w="6350">
                          <a:solidFill>
                            <a:prstClr val="black"/>
                          </a:solidFill>
                        </a:ln>
                      </wps:spPr>
                      <wps:txbx>
                        <w:txbxContent>
                          <w:p w:rsidR="003558DE" w:rsidRDefault="003558DE" w:rsidP="003558DE">
                            <w:r>
                              <w:t xml:space="preserve">Risque d’approvisionnement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7" o:spid="_x0000_s1026" type="#_x0000_t202" style="position:absolute;margin-left:133.25pt;margin-top:127.8pt;width:27pt;height:186.7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" fillcolor="window" strokeweight=".5pt">
                <v:textbox style="layout-flow:vertical;mso-layout-flow-alt:bottom-to-top">
                  <w:txbxContent>
                    <w:p w:rsidR="003558DE" w:rsidRDefault="003558DE" w:rsidP="003558DE">
                      <w:r>
                        <w:t xml:space="preserve">Risque d’approvisionnement </w:t>
                      </w:r>
                    </w:p>
                  </w:txbxContent>
                </v:textbox>
                <w10:wrap anchorx="margin"/>
              </v:shape>
            </w:pict>
          </mc:Fallback>
        </mc:AlternateContent>
      </w:r>
      <w:r w:rsidRPr="00E0411D">
        <w:rPr>
          <w:noProof/>
        </w:rPr>
        <mc:AlternateContent>
          <mc:Choice Requires="wps">
            <w:drawing>
              <wp:anchor distT="0" distB="0" distL="114300" distR="114300" simplePos="0" relativeHeight="251660288" behindDoc="0" locked="0" layoutInCell="1" allowOverlap="1" wp14:anchorId="42447357" wp14:editId="5709B216">
                <wp:simplePos x="0" y="0"/>
                <wp:positionH relativeFrom="margin">
                  <wp:align>left</wp:align>
                </wp:positionH>
                <wp:positionV relativeFrom="paragraph">
                  <wp:posOffset>88900</wp:posOffset>
                </wp:positionV>
                <wp:extent cx="342900" cy="2371725"/>
                <wp:effectExtent l="0" t="0" r="19050" b="28575"/>
                <wp:wrapNone/>
                <wp:docPr id="5" name="Zone de texte 5"/>
                <wp:cNvGraphicFramePr/>
                <a:graphic xmlns:a="http://schemas.openxmlformats.org/drawingml/2006/main">
                  <a:graphicData uri="http://schemas.microsoft.com/office/word/2010/wordprocessingShape">
                    <wps:wsp>
                      <wps:cNvSpPr txBox="1"/>
                      <wps:spPr>
                        <a:xfrm>
                          <a:off x="0" y="0"/>
                          <a:ext cx="342900" cy="2371725"/>
                        </a:xfrm>
                        <a:prstGeom prst="rect">
                          <a:avLst/>
                        </a:prstGeom>
                        <a:solidFill>
                          <a:schemeClr val="lt1"/>
                        </a:solidFill>
                        <a:ln w="6350">
                          <a:solidFill>
                            <a:prstClr val="black"/>
                          </a:solidFill>
                        </a:ln>
                      </wps:spPr>
                      <wps:txbx>
                        <w:txbxContent>
                          <w:p w:rsidR="003558DE" w:rsidRDefault="003558DE" w:rsidP="003558DE">
                            <w:r>
                              <w:t>Importance de l’achat (coût)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 o:spid="_x0000_s1027" type="#_x0000_t202" style="position:absolute;margin-left:0;margin-top:7pt;width:27pt;height:186.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" fillcolor="white [3201]" strokeweight=".5pt">
                <v:textbox style="layout-flow:vertical;mso-layout-flow-alt:bottom-to-top">
                  <w:txbxContent>
                    <w:p w:rsidR="003558DE" w:rsidRDefault="003558DE" w:rsidP="003558DE">
                      <w:r>
                        <w:t>Importance de l’achat (coût)</w:t>
                      </w:r>
                    </w:p>
                  </w:txbxContent>
                </v:textbox>
                <w10:wrap anchorx="margin"/>
              </v:shape>
            </w:pict>
          </mc:Fallback>
        </mc:AlternateContent>
      </w:r>
      <w:r>
        <w:tab/>
      </w:r>
      <w:r w:rsidRPr="00E0411D">
        <w:rPr>
          <w:noProof/>
        </w:rPr>
        <w:drawing>
          <wp:inline distT="0" distB="0" distL="0" distR="0" wp14:anchorId="2A01DBE5" wp14:editId="245DBB3B">
            <wp:extent cx="2333625" cy="2400300"/>
            <wp:effectExtent l="0" t="0" r="9525" b="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bookmarkStart w:id="0" w:name="_GoBack"/>
      <w:bookmarkEnd w:id="0"/>
    </w:p>
    <w:p w:rsidR="003558DE" w:rsidRPr="00E0411D" w:rsidRDefault="003558DE" w:rsidP="003558DE">
      <w:r w:rsidRPr="00E0411D">
        <w:rPr>
          <w:noProof/>
        </w:rPr>
        <mc:AlternateContent>
          <mc:Choice Requires="wps">
            <w:drawing>
              <wp:anchor distT="0" distB="0" distL="114300" distR="114300" simplePos="0" relativeHeight="251661312" behindDoc="0" locked="0" layoutInCell="1" allowOverlap="1" wp14:anchorId="6E222367" wp14:editId="2EB52101">
                <wp:simplePos x="0" y="0"/>
                <wp:positionH relativeFrom="column">
                  <wp:posOffset>460717</wp:posOffset>
                </wp:positionH>
                <wp:positionV relativeFrom="paragraph">
                  <wp:posOffset>102993</wp:posOffset>
                </wp:positionV>
                <wp:extent cx="2962275" cy="45719"/>
                <wp:effectExtent l="0" t="76200" r="9525" b="50165"/>
                <wp:wrapNone/>
                <wp:docPr id="6" name="Connecteur droit avec flèche 6"/>
                <wp:cNvGraphicFramePr/>
                <a:graphic xmlns:a="http://schemas.openxmlformats.org/drawingml/2006/main">
                  <a:graphicData uri="http://schemas.microsoft.com/office/word/2010/wordprocessingShape">
                    <wps:wsp>
                      <wps:cNvCnPr/>
                      <wps:spPr>
                        <a:xfrm flipV="1">
                          <a:off x="0" y="0"/>
                          <a:ext cx="29622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Connecteur droit avec flèche 6" o:spid="_x0000_s1026" type="#_x0000_t32" style="position:absolute;margin-left:36.3pt;margin-top:8.1pt;width:233.25pt;height:3.6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" strokecolor="#4579b8 [3044]">
                <v:stroke endarrow="block"/>
              </v:shape>
            </w:pict>
          </mc:Fallback>
        </mc:AlternateContent>
      </w:r>
    </w:p>
    <w:p w:rsidR="003558DE" w:rsidRPr="00E0411D" w:rsidRDefault="003558DE" w:rsidP="003558DE"/>
    <w:p w:rsidR="003558DE" w:rsidRPr="00E0411D" w:rsidRDefault="003558DE" w:rsidP="003558DE"/>
    <w:p w:rsidR="003558DE" w:rsidRPr="00E0411D" w:rsidRDefault="003558DE" w:rsidP="003558DE"/>
    <w:p w:rsidR="003558DE" w:rsidRPr="00E0411D" w:rsidRDefault="003558DE" w:rsidP="003558DE">
      <w:pPr>
        <w:pStyle w:val="05ExerciceTitre"/>
      </w:pPr>
      <w:r>
        <w:t>IV</w:t>
      </w:r>
      <w:r>
        <w:tab/>
      </w:r>
      <w:r w:rsidRPr="00E0411D">
        <w:t>L’organisation des achats</w:t>
      </w:r>
    </w:p>
    <w:p w:rsidR="003558DE" w:rsidRPr="00E0411D" w:rsidRDefault="003558DE" w:rsidP="003558DE">
      <w:pPr>
        <w:pStyle w:val="TTextecourant"/>
      </w:pPr>
      <w:r w:rsidRPr="00E0411D">
        <w:t>Il est possible de distinguer six étapes essentielles dans le processus achats :</w:t>
      </w:r>
    </w:p>
    <w:p w:rsidR="003558DE" w:rsidRPr="00E0411D" w:rsidRDefault="003558DE" w:rsidP="003558DE">
      <w:pPr>
        <w:pStyle w:val="TEnumpuce"/>
      </w:pPr>
      <w:r w:rsidRPr="00E0411D">
        <w:t>l’identification du besoin ;</w:t>
      </w:r>
    </w:p>
    <w:p w:rsidR="003558DE" w:rsidRPr="00E0411D" w:rsidRDefault="003558DE" w:rsidP="003558DE">
      <w:pPr>
        <w:pStyle w:val="TEnumpuce"/>
      </w:pPr>
      <w:r w:rsidRPr="00E0411D">
        <w:t>la rédaction du cahier des charges ;</w:t>
      </w:r>
    </w:p>
    <w:p w:rsidR="003558DE" w:rsidRPr="00E0411D" w:rsidRDefault="003558DE" w:rsidP="003558DE">
      <w:pPr>
        <w:pStyle w:val="TEnumpuce"/>
      </w:pPr>
      <w:r w:rsidRPr="00E0411D">
        <w:t>la réalisation de l’appel d’offres ;</w:t>
      </w:r>
    </w:p>
    <w:p w:rsidR="003558DE" w:rsidRPr="00E0411D" w:rsidRDefault="003558DE" w:rsidP="003558DE">
      <w:pPr>
        <w:pStyle w:val="TEnumpuce"/>
      </w:pPr>
      <w:r w:rsidRPr="00E0411D">
        <w:t>la comparaison des offres ;</w:t>
      </w:r>
    </w:p>
    <w:p w:rsidR="003558DE" w:rsidRPr="00E0411D" w:rsidRDefault="003558DE" w:rsidP="003558DE">
      <w:pPr>
        <w:pStyle w:val="TEnumpuce"/>
      </w:pPr>
      <w:r w:rsidRPr="00E0411D">
        <w:t>la négociation des achats ;</w:t>
      </w:r>
    </w:p>
    <w:p w:rsidR="003558DE" w:rsidRPr="00A2460E" w:rsidRDefault="003558DE" w:rsidP="003558DE">
      <w:pPr>
        <w:pStyle w:val="TEnumpuce"/>
      </w:pPr>
      <w:r w:rsidRPr="00E0411D">
        <w:t>la préparation des budgets achats.</w:t>
      </w:r>
    </w:p>
    <w:p w:rsidR="00806FB8" w:rsidRPr="003558DE" w:rsidRDefault="00806FB8" w:rsidP="003558DE"/>
    <w:sectPr w:rsidR="00806FB8" w:rsidRPr="003558DE"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28E7" w:rsidRDefault="00D728E7" w:rsidP="004016EA">
      <w:r>
        <w:separator/>
      </w:r>
    </w:p>
  </w:endnote>
  <w:endnote w:type="continuationSeparator" w:id="0">
    <w:p w:rsidR="00D728E7" w:rsidRDefault="00D728E7"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8E7BAA">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8E7BAA">
      <w:rPr>
        <w:rStyle w:val="Folio"/>
        <w:b/>
        <w:bCs/>
        <w:noProof/>
      </w:rPr>
      <w:t>2</w:t>
    </w:r>
    <w:r>
      <w:rPr>
        <w:rStyle w:val="Folio"/>
        <w:b/>
        <w:bCs/>
      </w:rPr>
      <w:fldChar w:fldCharType="end"/>
    </w:r>
    <w:r w:rsidR="004016EA">
      <w:rPr>
        <w:rStyle w:val="Folio"/>
        <w:b/>
        <w:bCs/>
      </w:rPr>
      <w:t xml:space="preserve">  </w:t>
    </w:r>
    <w:r w:rsidR="004016EA">
      <w:rPr>
        <w:w w:val="100"/>
      </w:rPr>
      <w:tab/>
    </w:r>
    <w:r w:rsidR="008E7BAA">
      <w:rPr>
        <w:w w:val="100"/>
      </w:rPr>
      <w:t>Situation professionnelle</w:t>
    </w:r>
    <w:r w:rsidR="004016EA">
      <w:rPr>
        <w:w w:val="100"/>
      </w:rPr>
      <w:t xml:space="preserve"> – </w:t>
    </w:r>
    <w:r w:rsidR="008E7BAA">
      <w:rPr>
        <w:w w:val="100"/>
      </w:rPr>
      <w:t>BCA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3558DE" w:rsidRDefault="004016EA" w:rsidP="003558DE">
    <w:pPr>
      <w:pStyle w:val="Pieddepagedroite"/>
    </w:pPr>
    <w:r>
      <w:rPr>
        <w:rStyle w:val="Bold"/>
      </w:rPr>
      <w:t>Chapitre </w:t>
    </w:r>
    <w:r w:rsidR="003558DE">
      <w:rPr>
        <w:rStyle w:val="Bold"/>
      </w:rPr>
      <w:t>9</w:t>
    </w:r>
    <w:r>
      <w:rPr>
        <w:rStyle w:val="Bold"/>
      </w:rPr>
      <w:t xml:space="preserve"> </w:t>
    </w:r>
    <w:r>
      <w:t xml:space="preserve"> - </w:t>
    </w:r>
    <w:r w:rsidR="003558DE">
      <w:t>Étude des projets d’achats</w:t>
    </w:r>
    <w:r w:rsidR="003558DE">
      <w:t xml:space="preserve"> </w:t>
    </w:r>
    <w:r w:rsidR="003558DE">
      <w:t>et d’investissements</w:t>
    </w:r>
    <w:r>
      <w:tab/>
    </w:r>
    <w:r w:rsidR="006C0120">
      <w:rPr>
        <w:rStyle w:val="Folio"/>
      </w:rPr>
      <w:fldChar w:fldCharType="begin"/>
    </w:r>
    <w:r>
      <w:rPr>
        <w:rStyle w:val="Folio"/>
      </w:rPr>
      <w:instrText xml:space="preserve"> PAGE </w:instrText>
    </w:r>
    <w:r w:rsidR="006C0120">
      <w:rPr>
        <w:rStyle w:val="Folio"/>
      </w:rPr>
      <w:fldChar w:fldCharType="separate"/>
    </w:r>
    <w:r w:rsidR="008E7BAA">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28E7" w:rsidRDefault="00D728E7" w:rsidP="004016EA">
      <w:r>
        <w:separator/>
      </w:r>
    </w:p>
  </w:footnote>
  <w:footnote w:type="continuationSeparator" w:id="0">
    <w:p w:rsidR="00D728E7" w:rsidRDefault="00D728E7"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1D5104"/>
    <w:rsid w:val="0024646B"/>
    <w:rsid w:val="00257766"/>
    <w:rsid w:val="0030498C"/>
    <w:rsid w:val="00324F73"/>
    <w:rsid w:val="003558DE"/>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554DD"/>
    <w:rsid w:val="008E7BAA"/>
    <w:rsid w:val="009215F2"/>
    <w:rsid w:val="009C3943"/>
    <w:rsid w:val="009C7BAC"/>
    <w:rsid w:val="00AD6532"/>
    <w:rsid w:val="00B81F3B"/>
    <w:rsid w:val="00BD34C9"/>
    <w:rsid w:val="00BF47D4"/>
    <w:rsid w:val="00C02E8D"/>
    <w:rsid w:val="00C20988"/>
    <w:rsid w:val="00C37BCE"/>
    <w:rsid w:val="00CF04A9"/>
    <w:rsid w:val="00CF17D4"/>
    <w:rsid w:val="00D1160A"/>
    <w:rsid w:val="00D728E7"/>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E4EDEE-DE9C-4422-AB6E-D62DF90CB460}" type="doc">
      <dgm:prSet loTypeId="urn:microsoft.com/office/officeart/2005/8/layout/matrix3" loCatId="matrix" qsTypeId="urn:microsoft.com/office/officeart/2005/8/quickstyle/simple1" qsCatId="simple" csTypeId="urn:microsoft.com/office/officeart/2005/8/colors/accent1_2" csCatId="accent1" phldr="1"/>
      <dgm:spPr/>
      <dgm:t>
        <a:bodyPr/>
        <a:lstStyle/>
        <a:p>
          <a:endParaRPr lang="fr-FR"/>
        </a:p>
      </dgm:t>
    </dgm:pt>
    <dgm:pt modelId="{390D27F8-B930-4646-AA56-16D011FC46EC}">
      <dgm:prSet phldrT="[Texte]"/>
      <dgm:spPr/>
      <dgm:t>
        <a:bodyPr/>
        <a:lstStyle/>
        <a:p>
          <a:pPr algn="ctr"/>
          <a:r>
            <a:rPr lang="fr-FR"/>
            <a:t>Achats lourds</a:t>
          </a:r>
        </a:p>
      </dgm:t>
    </dgm:pt>
    <dgm:pt modelId="{6B08809C-BC40-4153-BCB5-23DCF6C5F119}" type="parTrans" cxnId="{D5311C26-C5CC-4D04-88A5-42F244C19410}">
      <dgm:prSet/>
      <dgm:spPr/>
      <dgm:t>
        <a:bodyPr/>
        <a:lstStyle/>
        <a:p>
          <a:pPr algn="ctr"/>
          <a:endParaRPr lang="fr-FR"/>
        </a:p>
      </dgm:t>
    </dgm:pt>
    <dgm:pt modelId="{3D8F442A-6121-413E-85CC-DEAA7F3D41F5}" type="sibTrans" cxnId="{D5311C26-C5CC-4D04-88A5-42F244C19410}">
      <dgm:prSet/>
      <dgm:spPr/>
      <dgm:t>
        <a:bodyPr/>
        <a:lstStyle/>
        <a:p>
          <a:pPr algn="ctr"/>
          <a:endParaRPr lang="fr-FR"/>
        </a:p>
      </dgm:t>
    </dgm:pt>
    <dgm:pt modelId="{4F6F88D4-3363-4679-AB65-38F9837208F8}">
      <dgm:prSet phldrT="[Texte]"/>
      <dgm:spPr/>
      <dgm:t>
        <a:bodyPr/>
        <a:lstStyle/>
        <a:p>
          <a:pPr algn="ctr"/>
          <a:r>
            <a:rPr lang="fr-FR"/>
            <a:t>Achats stratégiques</a:t>
          </a:r>
        </a:p>
      </dgm:t>
    </dgm:pt>
    <dgm:pt modelId="{C452298E-E79F-4B30-B428-81C4B2DB546B}" type="parTrans" cxnId="{B3681760-A6A3-4805-98E0-1269E5FB62B8}">
      <dgm:prSet/>
      <dgm:spPr/>
      <dgm:t>
        <a:bodyPr/>
        <a:lstStyle/>
        <a:p>
          <a:pPr algn="ctr"/>
          <a:endParaRPr lang="fr-FR"/>
        </a:p>
      </dgm:t>
    </dgm:pt>
    <dgm:pt modelId="{1AC128AF-C58F-46F6-A313-83AA8537CE0F}" type="sibTrans" cxnId="{B3681760-A6A3-4805-98E0-1269E5FB62B8}">
      <dgm:prSet/>
      <dgm:spPr/>
      <dgm:t>
        <a:bodyPr/>
        <a:lstStyle/>
        <a:p>
          <a:pPr algn="ctr"/>
          <a:endParaRPr lang="fr-FR"/>
        </a:p>
      </dgm:t>
    </dgm:pt>
    <dgm:pt modelId="{9B3C86E9-5B5C-4C9E-AE28-EAD1E59FC7D2}">
      <dgm:prSet phldrT="[Texte]"/>
      <dgm:spPr/>
      <dgm:t>
        <a:bodyPr/>
        <a:lstStyle/>
        <a:p>
          <a:pPr algn="ctr"/>
          <a:r>
            <a:rPr lang="fr-FR"/>
            <a:t>Achats simples</a:t>
          </a:r>
        </a:p>
      </dgm:t>
    </dgm:pt>
    <dgm:pt modelId="{E4F86C1C-4710-426C-937E-96CA4662482B}" type="parTrans" cxnId="{9C55524F-6A29-4478-A802-B5E61FA4C7A9}">
      <dgm:prSet/>
      <dgm:spPr/>
      <dgm:t>
        <a:bodyPr/>
        <a:lstStyle/>
        <a:p>
          <a:pPr algn="ctr"/>
          <a:endParaRPr lang="fr-FR"/>
        </a:p>
      </dgm:t>
    </dgm:pt>
    <dgm:pt modelId="{96C3EC20-4A94-45DE-BFC3-628052A0190D}" type="sibTrans" cxnId="{9C55524F-6A29-4478-A802-B5E61FA4C7A9}">
      <dgm:prSet/>
      <dgm:spPr/>
      <dgm:t>
        <a:bodyPr/>
        <a:lstStyle/>
        <a:p>
          <a:pPr algn="ctr"/>
          <a:endParaRPr lang="fr-FR"/>
        </a:p>
      </dgm:t>
    </dgm:pt>
    <dgm:pt modelId="{2AC3A870-69BF-4E8D-A289-48CB3675CAEB}">
      <dgm:prSet phldrT="[Texte]"/>
      <dgm:spPr/>
      <dgm:t>
        <a:bodyPr/>
        <a:lstStyle/>
        <a:p>
          <a:pPr algn="ctr"/>
          <a:r>
            <a:rPr lang="fr-FR"/>
            <a:t>Ahats risqués</a:t>
          </a:r>
        </a:p>
      </dgm:t>
    </dgm:pt>
    <dgm:pt modelId="{C6A47FE9-BFB9-4EEC-A8EA-E0EE293DD593}" type="parTrans" cxnId="{43970EB9-77B4-40EF-AD47-5DD8280B4710}">
      <dgm:prSet/>
      <dgm:spPr/>
      <dgm:t>
        <a:bodyPr/>
        <a:lstStyle/>
        <a:p>
          <a:pPr algn="ctr"/>
          <a:endParaRPr lang="fr-FR"/>
        </a:p>
      </dgm:t>
    </dgm:pt>
    <dgm:pt modelId="{A9072599-6C24-4DF9-BD8E-AFB0F602DEE1}" type="sibTrans" cxnId="{43970EB9-77B4-40EF-AD47-5DD8280B4710}">
      <dgm:prSet/>
      <dgm:spPr/>
      <dgm:t>
        <a:bodyPr/>
        <a:lstStyle/>
        <a:p>
          <a:pPr algn="ctr"/>
          <a:endParaRPr lang="fr-FR"/>
        </a:p>
      </dgm:t>
    </dgm:pt>
    <dgm:pt modelId="{E07681C5-2F0F-4963-9EF1-2E52D054E575}" type="pres">
      <dgm:prSet presAssocID="{56E4EDEE-DE9C-4422-AB6E-D62DF90CB460}" presName="matrix" presStyleCnt="0">
        <dgm:presLayoutVars>
          <dgm:chMax val="1"/>
          <dgm:dir/>
          <dgm:resizeHandles val="exact"/>
        </dgm:presLayoutVars>
      </dgm:prSet>
      <dgm:spPr/>
      <dgm:t>
        <a:bodyPr/>
        <a:lstStyle/>
        <a:p>
          <a:endParaRPr lang="fr-FR"/>
        </a:p>
      </dgm:t>
    </dgm:pt>
    <dgm:pt modelId="{CCF472BB-26C4-41FC-9673-D3C06EABA4DB}" type="pres">
      <dgm:prSet presAssocID="{56E4EDEE-DE9C-4422-AB6E-D62DF90CB460}" presName="diamond" presStyleLbl="bgShp" presStyleIdx="0" presStyleCnt="1" custLinFactNeighborX="14694" custLinFactNeighborY="-1429"/>
      <dgm:spPr/>
    </dgm:pt>
    <dgm:pt modelId="{7F74B673-BE51-40C2-AA9A-FBCF6DB73D5A}" type="pres">
      <dgm:prSet presAssocID="{56E4EDEE-DE9C-4422-AB6E-D62DF90CB460}" presName="quad1" presStyleLbl="node1" presStyleIdx="0" presStyleCnt="4">
        <dgm:presLayoutVars>
          <dgm:chMax val="0"/>
          <dgm:chPref val="0"/>
          <dgm:bulletEnabled val="1"/>
        </dgm:presLayoutVars>
      </dgm:prSet>
      <dgm:spPr/>
      <dgm:t>
        <a:bodyPr/>
        <a:lstStyle/>
        <a:p>
          <a:endParaRPr lang="fr-FR"/>
        </a:p>
      </dgm:t>
    </dgm:pt>
    <dgm:pt modelId="{C50531FE-FD80-4C46-AFEE-92D51D73C084}" type="pres">
      <dgm:prSet presAssocID="{56E4EDEE-DE9C-4422-AB6E-D62DF90CB460}" presName="quad2" presStyleLbl="node1" presStyleIdx="1" presStyleCnt="4">
        <dgm:presLayoutVars>
          <dgm:chMax val="0"/>
          <dgm:chPref val="0"/>
          <dgm:bulletEnabled val="1"/>
        </dgm:presLayoutVars>
      </dgm:prSet>
      <dgm:spPr/>
      <dgm:t>
        <a:bodyPr/>
        <a:lstStyle/>
        <a:p>
          <a:endParaRPr lang="fr-FR"/>
        </a:p>
      </dgm:t>
    </dgm:pt>
    <dgm:pt modelId="{FA5749BE-CE56-4B4E-ACA8-76C600049CE5}" type="pres">
      <dgm:prSet presAssocID="{56E4EDEE-DE9C-4422-AB6E-D62DF90CB460}" presName="quad3" presStyleLbl="node1" presStyleIdx="2" presStyleCnt="4">
        <dgm:presLayoutVars>
          <dgm:chMax val="0"/>
          <dgm:chPref val="0"/>
          <dgm:bulletEnabled val="1"/>
        </dgm:presLayoutVars>
      </dgm:prSet>
      <dgm:spPr/>
      <dgm:t>
        <a:bodyPr/>
        <a:lstStyle/>
        <a:p>
          <a:endParaRPr lang="fr-FR"/>
        </a:p>
      </dgm:t>
    </dgm:pt>
    <dgm:pt modelId="{D815918B-4F1B-4E69-892E-36C20BC48552}" type="pres">
      <dgm:prSet presAssocID="{56E4EDEE-DE9C-4422-AB6E-D62DF90CB460}" presName="quad4" presStyleLbl="node1" presStyleIdx="3" presStyleCnt="4">
        <dgm:presLayoutVars>
          <dgm:chMax val="0"/>
          <dgm:chPref val="0"/>
          <dgm:bulletEnabled val="1"/>
        </dgm:presLayoutVars>
      </dgm:prSet>
      <dgm:spPr/>
      <dgm:t>
        <a:bodyPr/>
        <a:lstStyle/>
        <a:p>
          <a:endParaRPr lang="fr-FR"/>
        </a:p>
      </dgm:t>
    </dgm:pt>
  </dgm:ptLst>
  <dgm:cxnLst>
    <dgm:cxn modelId="{A85B983D-572B-4EA0-A722-1247BFBFE02D}" type="presOf" srcId="{4F6F88D4-3363-4679-AB65-38F9837208F8}" destId="{C50531FE-FD80-4C46-AFEE-92D51D73C084}" srcOrd="0" destOrd="0" presId="urn:microsoft.com/office/officeart/2005/8/layout/matrix3"/>
    <dgm:cxn modelId="{028A7DD9-BBE7-4BCB-948E-E2DC7A59236F}" type="presOf" srcId="{390D27F8-B930-4646-AA56-16D011FC46EC}" destId="{7F74B673-BE51-40C2-AA9A-FBCF6DB73D5A}" srcOrd="0" destOrd="0" presId="urn:microsoft.com/office/officeart/2005/8/layout/matrix3"/>
    <dgm:cxn modelId="{43970EB9-77B4-40EF-AD47-5DD8280B4710}" srcId="{56E4EDEE-DE9C-4422-AB6E-D62DF90CB460}" destId="{2AC3A870-69BF-4E8D-A289-48CB3675CAEB}" srcOrd="3" destOrd="0" parTransId="{C6A47FE9-BFB9-4EEC-A8EA-E0EE293DD593}" sibTransId="{A9072599-6C24-4DF9-BD8E-AFB0F602DEE1}"/>
    <dgm:cxn modelId="{B3681760-A6A3-4805-98E0-1269E5FB62B8}" srcId="{56E4EDEE-DE9C-4422-AB6E-D62DF90CB460}" destId="{4F6F88D4-3363-4679-AB65-38F9837208F8}" srcOrd="1" destOrd="0" parTransId="{C452298E-E79F-4B30-B428-81C4B2DB546B}" sibTransId="{1AC128AF-C58F-46F6-A313-83AA8537CE0F}"/>
    <dgm:cxn modelId="{9C55524F-6A29-4478-A802-B5E61FA4C7A9}" srcId="{56E4EDEE-DE9C-4422-AB6E-D62DF90CB460}" destId="{9B3C86E9-5B5C-4C9E-AE28-EAD1E59FC7D2}" srcOrd="2" destOrd="0" parTransId="{E4F86C1C-4710-426C-937E-96CA4662482B}" sibTransId="{96C3EC20-4A94-45DE-BFC3-628052A0190D}"/>
    <dgm:cxn modelId="{D5311C26-C5CC-4D04-88A5-42F244C19410}" srcId="{56E4EDEE-DE9C-4422-AB6E-D62DF90CB460}" destId="{390D27F8-B930-4646-AA56-16D011FC46EC}" srcOrd="0" destOrd="0" parTransId="{6B08809C-BC40-4153-BCB5-23DCF6C5F119}" sibTransId="{3D8F442A-6121-413E-85CC-DEAA7F3D41F5}"/>
    <dgm:cxn modelId="{7F00621E-0EF7-485B-97DE-EC906A80A4EB}" type="presOf" srcId="{9B3C86E9-5B5C-4C9E-AE28-EAD1E59FC7D2}" destId="{FA5749BE-CE56-4B4E-ACA8-76C600049CE5}" srcOrd="0" destOrd="0" presId="urn:microsoft.com/office/officeart/2005/8/layout/matrix3"/>
    <dgm:cxn modelId="{9566CF72-4527-4E1A-B979-B1F89F9B6B5C}" type="presOf" srcId="{56E4EDEE-DE9C-4422-AB6E-D62DF90CB460}" destId="{E07681C5-2F0F-4963-9EF1-2E52D054E575}" srcOrd="0" destOrd="0" presId="urn:microsoft.com/office/officeart/2005/8/layout/matrix3"/>
    <dgm:cxn modelId="{891F950D-6941-4908-B1BE-9F2C42950805}" type="presOf" srcId="{2AC3A870-69BF-4E8D-A289-48CB3675CAEB}" destId="{D815918B-4F1B-4E69-892E-36C20BC48552}" srcOrd="0" destOrd="0" presId="urn:microsoft.com/office/officeart/2005/8/layout/matrix3"/>
    <dgm:cxn modelId="{28E306C9-9E5A-4850-B189-6425BB3AF593}" type="presParOf" srcId="{E07681C5-2F0F-4963-9EF1-2E52D054E575}" destId="{CCF472BB-26C4-41FC-9673-D3C06EABA4DB}" srcOrd="0" destOrd="0" presId="urn:microsoft.com/office/officeart/2005/8/layout/matrix3"/>
    <dgm:cxn modelId="{7B3FFEF2-99E7-41ED-A277-B9799133D421}" type="presParOf" srcId="{E07681C5-2F0F-4963-9EF1-2E52D054E575}" destId="{7F74B673-BE51-40C2-AA9A-FBCF6DB73D5A}" srcOrd="1" destOrd="0" presId="urn:microsoft.com/office/officeart/2005/8/layout/matrix3"/>
    <dgm:cxn modelId="{0ED129E7-BFF8-4AA0-88B8-563286C6EEBC}" type="presParOf" srcId="{E07681C5-2F0F-4963-9EF1-2E52D054E575}" destId="{C50531FE-FD80-4C46-AFEE-92D51D73C084}" srcOrd="2" destOrd="0" presId="urn:microsoft.com/office/officeart/2005/8/layout/matrix3"/>
    <dgm:cxn modelId="{E9460C92-2FBE-4CF1-8168-FF4CCE3B1751}" type="presParOf" srcId="{E07681C5-2F0F-4963-9EF1-2E52D054E575}" destId="{FA5749BE-CE56-4B4E-ACA8-76C600049CE5}" srcOrd="3" destOrd="0" presId="urn:microsoft.com/office/officeart/2005/8/layout/matrix3"/>
    <dgm:cxn modelId="{F22F0A60-8466-4C97-8B52-4EFFAC4EA182}" type="presParOf" srcId="{E07681C5-2F0F-4963-9EF1-2E52D054E575}" destId="{D815918B-4F1B-4E69-892E-36C20BC48552}" srcOrd="4" destOrd="0" presId="urn:microsoft.com/office/officeart/2005/8/layout/matrix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F472BB-26C4-41FC-9673-D3C06EABA4DB}">
      <dsp:nvSpPr>
        <dsp:cNvPr id="0" name=""/>
        <dsp:cNvSpPr/>
      </dsp:nvSpPr>
      <dsp:spPr>
        <a:xfrm>
          <a:off x="0" y="0"/>
          <a:ext cx="2333625" cy="2333625"/>
        </a:xfrm>
        <a:prstGeom prst="diamond">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F74B673-BE51-40C2-AA9A-FBCF6DB73D5A}">
      <dsp:nvSpPr>
        <dsp:cNvPr id="0" name=""/>
        <dsp:cNvSpPr/>
      </dsp:nvSpPr>
      <dsp:spPr>
        <a:xfrm>
          <a:off x="221694" y="255031"/>
          <a:ext cx="910113" cy="91011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Achats lourds</a:t>
          </a:r>
        </a:p>
      </dsp:txBody>
      <dsp:txXfrm>
        <a:off x="266122" y="299459"/>
        <a:ext cx="821257" cy="821257"/>
      </dsp:txXfrm>
    </dsp:sp>
    <dsp:sp modelId="{C50531FE-FD80-4C46-AFEE-92D51D73C084}">
      <dsp:nvSpPr>
        <dsp:cNvPr id="0" name=""/>
        <dsp:cNvSpPr/>
      </dsp:nvSpPr>
      <dsp:spPr>
        <a:xfrm>
          <a:off x="1201816" y="255031"/>
          <a:ext cx="910113" cy="91011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Achats stratégiques</a:t>
          </a:r>
        </a:p>
      </dsp:txBody>
      <dsp:txXfrm>
        <a:off x="1246244" y="299459"/>
        <a:ext cx="821257" cy="821257"/>
      </dsp:txXfrm>
    </dsp:sp>
    <dsp:sp modelId="{FA5749BE-CE56-4B4E-ACA8-76C600049CE5}">
      <dsp:nvSpPr>
        <dsp:cNvPr id="0" name=""/>
        <dsp:cNvSpPr/>
      </dsp:nvSpPr>
      <dsp:spPr>
        <a:xfrm>
          <a:off x="221694" y="1235154"/>
          <a:ext cx="910113" cy="91011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Achats simples</a:t>
          </a:r>
        </a:p>
      </dsp:txBody>
      <dsp:txXfrm>
        <a:off x="266122" y="1279582"/>
        <a:ext cx="821257" cy="821257"/>
      </dsp:txXfrm>
    </dsp:sp>
    <dsp:sp modelId="{D815918B-4F1B-4E69-892E-36C20BC48552}">
      <dsp:nvSpPr>
        <dsp:cNvPr id="0" name=""/>
        <dsp:cNvSpPr/>
      </dsp:nvSpPr>
      <dsp:spPr>
        <a:xfrm>
          <a:off x="1201816" y="1235154"/>
          <a:ext cx="910113" cy="91011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Ahats risqués</a:t>
          </a:r>
        </a:p>
      </dsp:txBody>
      <dsp:txXfrm>
        <a:off x="1246244" y="1279582"/>
        <a:ext cx="821257" cy="821257"/>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9A6FA-CA1A-4E19-A2FD-89ADF72E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2</Pages>
  <Words>656</Words>
  <Characters>3608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4256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2018-03-12T10:33:00Z</dcterms:created>
  <dcterms:modified xsi:type="dcterms:W3CDTF">2018-03-12T10:35:00Z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