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4DC6" w:rsidRPr="00EE584F" w:rsidRDefault="00CD4DC6" w:rsidP="00F654A9">
      <w:pPr>
        <w:pStyle w:val="00Chaptitre"/>
        <w:rPr>
          <w:rFonts w:eastAsiaTheme="majorEastAsia"/>
        </w:rPr>
      </w:pPr>
      <w:r w:rsidRPr="00EE584F">
        <w:rPr>
          <w:rFonts w:eastAsiaTheme="majorEastAsia"/>
        </w:rPr>
        <w:t>Synthèse</w:t>
      </w:r>
    </w:p>
    <w:p w:rsidR="00CD4DC6" w:rsidRPr="00EE584F" w:rsidRDefault="00CD4DC6" w:rsidP="00F654A9">
      <w:pPr>
        <w:pStyle w:val="04Exercicestitre"/>
        <w:rPr>
          <w:rFonts w:eastAsiaTheme="majorEastAsia"/>
        </w:rPr>
      </w:pPr>
      <w:r w:rsidRPr="00EE584F">
        <w:rPr>
          <w:rFonts w:eastAsiaTheme="majorEastAsia"/>
        </w:rPr>
        <w:t>Chapitre 12</w:t>
      </w:r>
      <w:r w:rsidRPr="00EE584F">
        <w:rPr>
          <w:rFonts w:eastAsiaTheme="majorEastAsia"/>
        </w:rPr>
        <w:tab/>
      </w:r>
      <w:bookmarkStart w:id="0" w:name="_GoBack"/>
      <w:r w:rsidRPr="00EE584F">
        <w:t>Contrôle des achats et des règlements, évaluation des fournisseurs</w:t>
      </w:r>
      <w:bookmarkEnd w:id="0"/>
    </w:p>
    <w:p w:rsidR="00CD4DC6" w:rsidRPr="00EE584F" w:rsidRDefault="00CD4DC6" w:rsidP="00F654A9">
      <w:pPr>
        <w:pStyle w:val="05ExerciceTitre"/>
      </w:pPr>
      <w:r w:rsidRPr="00EE584F">
        <w:rPr>
          <w:rFonts w:eastAsiaTheme="majorEastAsia"/>
        </w:rPr>
        <w:t>I Contrôler les factures d’achats</w:t>
      </w:r>
    </w:p>
    <w:p w:rsidR="00CD4DC6" w:rsidRPr="00EE584F" w:rsidRDefault="00CD4DC6" w:rsidP="00F654A9">
      <w:pPr>
        <w:pStyle w:val="06Questionenonce"/>
      </w:pPr>
      <w:r w:rsidRPr="00EE584F">
        <w:t>1 Le cycle des achats</w:t>
      </w:r>
    </w:p>
    <w:p w:rsidR="00CD4DC6" w:rsidRPr="00EE584F" w:rsidRDefault="00CD4DC6" w:rsidP="00F654A9">
      <w:pPr>
        <w:pStyle w:val="TTextecourant"/>
      </w:pPr>
      <w:r w:rsidRPr="00EE584F">
        <w:drawing>
          <wp:inline distT="0" distB="0" distL="0" distR="0" wp14:anchorId="0EAB7BE6" wp14:editId="63BCED6F">
            <wp:extent cx="5486400" cy="3200400"/>
            <wp:effectExtent l="0" t="0" r="0" b="19050"/>
            <wp:docPr id="3" name="Diagramme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CD4DC6" w:rsidRPr="00EE584F" w:rsidRDefault="00CD4DC6" w:rsidP="00F654A9">
      <w:pPr>
        <w:pStyle w:val="06Questionenonce"/>
      </w:pPr>
      <w:r w:rsidRPr="00EE584F">
        <w:t>2 Le contrôle</w:t>
      </w:r>
    </w:p>
    <w:p w:rsidR="00CD4DC6" w:rsidRPr="00EE584F" w:rsidRDefault="00CD4DC6" w:rsidP="00F654A9">
      <w:pPr>
        <w:pStyle w:val="TTextecourant"/>
      </w:pPr>
      <w:r w:rsidRPr="00EE584F">
        <w:t>À chaque étape, un contrôle doit être effectué : comparaison des quantités commandées avec celles r</w:t>
      </w:r>
      <w:r w:rsidRPr="00EE584F">
        <w:t>e</w:t>
      </w:r>
      <w:r w:rsidRPr="00EE584F">
        <w:t>çues, références, dates de réception, prix, réductions commerciales, frais de transport, dates et mode de règlement.</w:t>
      </w:r>
    </w:p>
    <w:p w:rsidR="00CD4DC6" w:rsidRPr="00EE584F" w:rsidRDefault="00CD4DC6" w:rsidP="00F654A9">
      <w:pPr>
        <w:pStyle w:val="TTextecourant"/>
      </w:pPr>
      <w:r w:rsidRPr="00EE584F">
        <w:t>Les bons de livraison, ou de réception, et les bons de commande sont généralement conservés voire agr</w:t>
      </w:r>
      <w:r w:rsidRPr="00EE584F">
        <w:t>a</w:t>
      </w:r>
      <w:r w:rsidRPr="00EE584F">
        <w:t>fés derrière l’original de la facture. Ces documents sont classés par fournisseur et par date.</w:t>
      </w:r>
    </w:p>
    <w:p w:rsidR="00CD4DC6" w:rsidRPr="00EE584F" w:rsidRDefault="00CD4DC6" w:rsidP="00F654A9">
      <w:pPr>
        <w:pStyle w:val="TTextecourant"/>
      </w:pPr>
      <w:r w:rsidRPr="00EE584F">
        <w:t>Les factures sont comptabilisées après vérification dans le journal des achats, chaque écriture comptable doit indiquer :</w:t>
      </w:r>
    </w:p>
    <w:p w:rsidR="00CD4DC6" w:rsidRPr="00EE584F" w:rsidRDefault="00CD4DC6" w:rsidP="00F654A9">
      <w:pPr>
        <w:pStyle w:val="TEnumpuce"/>
      </w:pPr>
      <w:r w:rsidRPr="00EE584F">
        <w:t>la date et le numéro de la facture ;</w:t>
      </w:r>
    </w:p>
    <w:p w:rsidR="00CD4DC6" w:rsidRPr="00EE584F" w:rsidRDefault="00CD4DC6" w:rsidP="00F654A9">
      <w:pPr>
        <w:pStyle w:val="TEnumpuce"/>
      </w:pPr>
      <w:r w:rsidRPr="00EE584F">
        <w:t>le numéro compte du fournisseur ;</w:t>
      </w:r>
    </w:p>
    <w:p w:rsidR="00CD4DC6" w:rsidRPr="00EE584F" w:rsidRDefault="00CD4DC6" w:rsidP="00F654A9">
      <w:pPr>
        <w:pStyle w:val="TEnumpuce"/>
      </w:pPr>
      <w:r w:rsidRPr="00EE584F">
        <w:t>l’identification du fournisseur ;</w:t>
      </w:r>
    </w:p>
    <w:p w:rsidR="00CD4DC6" w:rsidRPr="00EE584F" w:rsidRDefault="00CD4DC6" w:rsidP="00F654A9">
      <w:pPr>
        <w:pStyle w:val="TEnumpuce"/>
      </w:pPr>
      <w:r w:rsidRPr="00EE584F">
        <w:t>le montant TTC ;</w:t>
      </w:r>
    </w:p>
    <w:p w:rsidR="00CD4DC6" w:rsidRPr="00EE584F" w:rsidRDefault="00CD4DC6" w:rsidP="00F654A9">
      <w:pPr>
        <w:pStyle w:val="TEnumpuce"/>
      </w:pPr>
      <w:r w:rsidRPr="00EE584F">
        <w:t>la ventilation de la charge par destination (marchandise, matières premières, fournitures stockées, non stockées).</w:t>
      </w:r>
    </w:p>
    <w:p w:rsidR="00CD4DC6" w:rsidRPr="00F654A9" w:rsidRDefault="00CD4DC6" w:rsidP="00F654A9">
      <w:pPr>
        <w:pStyle w:val="TTextecourant"/>
        <w:rPr>
          <w:b/>
        </w:rPr>
      </w:pPr>
      <w:r w:rsidRPr="00F654A9">
        <w:rPr>
          <w:b/>
        </w:rPr>
        <w:t>Particularité des achats en et hors Union européenne</w:t>
      </w:r>
    </w:p>
    <w:p w:rsidR="00CD4DC6" w:rsidRPr="00EE584F" w:rsidRDefault="00CD4DC6" w:rsidP="00F654A9">
      <w:pPr>
        <w:pStyle w:val="TTextecourant"/>
      </w:pPr>
      <w:r w:rsidRPr="00EE584F">
        <w:t>Les factures d’achat reçues d’un État membre de l’Union européenne ne comportent pas de TVA, il est alors indiqué « exo » pour exonération à la place du montant de la TVA.</w:t>
      </w:r>
    </w:p>
    <w:p w:rsidR="00CD4DC6" w:rsidRPr="00EE584F" w:rsidRDefault="00CD4DC6" w:rsidP="00F654A9">
      <w:pPr>
        <w:pStyle w:val="TTextecourant"/>
      </w:pPr>
      <w:r w:rsidRPr="00EE584F">
        <w:t>L’entreprise qui achète doit déclarer aux services de douanes (déclaration d’échanges de biens) le mo</w:t>
      </w:r>
      <w:r w:rsidRPr="00EE584F">
        <w:t>n</w:t>
      </w:r>
      <w:r w:rsidRPr="00EE584F">
        <w:t>tant de TVA au taux français qu’il aurait dû s’acquitter : TVA intracommunautaire. Il paye et déduit la TVA à l’État.</w:t>
      </w:r>
    </w:p>
    <w:p w:rsidR="00CD4DC6" w:rsidRPr="00EE584F" w:rsidRDefault="00CD4DC6" w:rsidP="00F654A9">
      <w:pPr>
        <w:pStyle w:val="TTextecourant"/>
      </w:pPr>
      <w:r w:rsidRPr="00EE584F">
        <w:t>Les factures d’achat reçues d’un pays non-membre de l’Union européenne ne comportent aucune TVA. Celle-ci est due au moment de son entrée sur le territoire français à la douane : TVA sur les opérations avec l’étranger.</w:t>
      </w:r>
    </w:p>
    <w:p w:rsidR="00CD4DC6" w:rsidRPr="00EE584F" w:rsidRDefault="00CD4DC6" w:rsidP="00F654A9">
      <w:pPr>
        <w:pStyle w:val="05ExerciceTitre"/>
        <w:rPr>
          <w:rFonts w:eastAsiaTheme="majorEastAsia"/>
        </w:rPr>
      </w:pPr>
      <w:r w:rsidRPr="00EE584F">
        <w:rPr>
          <w:rFonts w:eastAsiaTheme="majorEastAsia"/>
        </w:rPr>
        <w:t>II Contrôler les règlements</w:t>
      </w:r>
    </w:p>
    <w:p w:rsidR="00CD4DC6" w:rsidRPr="00EE584F" w:rsidRDefault="00CD4DC6" w:rsidP="00F654A9">
      <w:pPr>
        <w:pStyle w:val="TTextecourant"/>
        <w:rPr>
          <w:rFonts w:eastAsiaTheme="majorEastAsia"/>
        </w:rPr>
      </w:pPr>
      <w:r w:rsidRPr="00EE584F">
        <w:rPr>
          <w:rFonts w:eastAsiaTheme="majorEastAsia"/>
        </w:rPr>
        <w:t>Après vérification des factures, les prévisions de règlements sont notées dans l’échéancier. Un suivi des comptes fou</w:t>
      </w:r>
      <w:r w:rsidRPr="00EE584F">
        <w:rPr>
          <w:rFonts w:eastAsiaTheme="majorEastAsia"/>
        </w:rPr>
        <w:t>r</w:t>
      </w:r>
      <w:r w:rsidRPr="00EE584F">
        <w:rPr>
          <w:rFonts w:eastAsiaTheme="majorEastAsia"/>
        </w:rPr>
        <w:t>nisseurs est nécessaire afin de vérifier que nous avons bien payé nos fournisseurs.</w:t>
      </w:r>
    </w:p>
    <w:p w:rsidR="00CD4DC6" w:rsidRPr="00EE584F" w:rsidRDefault="00CD4DC6" w:rsidP="00F654A9">
      <w:pPr>
        <w:pStyle w:val="TTextecourant"/>
        <w:rPr>
          <w:rFonts w:eastAsiaTheme="majorEastAsia"/>
        </w:rPr>
      </w:pPr>
      <w:r w:rsidRPr="00EE584F">
        <w:rPr>
          <w:rFonts w:eastAsiaTheme="majorEastAsia"/>
        </w:rPr>
        <w:t>Les modes de règlement peuvent s’effectuer :</w:t>
      </w:r>
    </w:p>
    <w:p w:rsidR="00CD4DC6" w:rsidRPr="00EE584F" w:rsidRDefault="00CD4DC6" w:rsidP="00F654A9">
      <w:pPr>
        <w:pStyle w:val="TEnumpuce"/>
        <w:rPr>
          <w:rFonts w:eastAsiaTheme="majorEastAsia"/>
        </w:rPr>
      </w:pPr>
      <w:r w:rsidRPr="00EE584F">
        <w:rPr>
          <w:rFonts w:eastAsiaTheme="majorEastAsia"/>
        </w:rPr>
        <w:t>par virement bancaire ;</w:t>
      </w:r>
    </w:p>
    <w:p w:rsidR="00CD4DC6" w:rsidRPr="00EE584F" w:rsidRDefault="00CD4DC6" w:rsidP="00F654A9">
      <w:pPr>
        <w:pStyle w:val="TEnumpuce"/>
        <w:rPr>
          <w:rFonts w:eastAsiaTheme="majorEastAsia"/>
        </w:rPr>
      </w:pPr>
      <w:r w:rsidRPr="00EE584F">
        <w:rPr>
          <w:rFonts w:eastAsiaTheme="majorEastAsia"/>
        </w:rPr>
        <w:t>par chèque ;</w:t>
      </w:r>
    </w:p>
    <w:p w:rsidR="00CD4DC6" w:rsidRPr="00EE584F" w:rsidRDefault="00CD4DC6" w:rsidP="00F654A9">
      <w:pPr>
        <w:pStyle w:val="TEnumpuce"/>
        <w:rPr>
          <w:rFonts w:eastAsiaTheme="majorEastAsia"/>
        </w:rPr>
      </w:pPr>
      <w:r w:rsidRPr="00EE584F">
        <w:rPr>
          <w:rFonts w:eastAsiaTheme="majorEastAsia"/>
        </w:rPr>
        <w:t>en liquide via la caisse (réservée aux petites dépenses) ;</w:t>
      </w:r>
    </w:p>
    <w:p w:rsidR="00CD4DC6" w:rsidRPr="00EE584F" w:rsidRDefault="00CD4DC6" w:rsidP="00F654A9">
      <w:pPr>
        <w:pStyle w:val="TEnumpuce"/>
        <w:rPr>
          <w:rFonts w:eastAsiaTheme="majorEastAsia"/>
        </w:rPr>
      </w:pPr>
      <w:r w:rsidRPr="00EE584F">
        <w:rPr>
          <w:rFonts w:eastAsiaTheme="majorEastAsia"/>
        </w:rPr>
        <w:t>par traite (qui est un effet de commerce).</w:t>
      </w:r>
    </w:p>
    <w:p w:rsidR="00CD4DC6" w:rsidRPr="00EE584F" w:rsidRDefault="00CD4DC6" w:rsidP="00F654A9">
      <w:pPr>
        <w:pStyle w:val="05ExerciceTitre"/>
        <w:rPr>
          <w:rFonts w:eastAsiaTheme="majorEastAsia"/>
        </w:rPr>
      </w:pPr>
      <w:r w:rsidRPr="00EE584F">
        <w:rPr>
          <w:rFonts w:eastAsiaTheme="majorEastAsia"/>
        </w:rPr>
        <w:lastRenderedPageBreak/>
        <w:t>III Évaluer les fournisseurs</w:t>
      </w:r>
    </w:p>
    <w:p w:rsidR="00CD4DC6" w:rsidRPr="00EE584F" w:rsidRDefault="00CD4DC6" w:rsidP="00F654A9">
      <w:pPr>
        <w:pStyle w:val="06Questionenonce"/>
        <w:rPr>
          <w:rFonts w:eastAsiaTheme="majorEastAsia"/>
        </w:rPr>
      </w:pPr>
      <w:r w:rsidRPr="00EE584F">
        <w:rPr>
          <w:rFonts w:eastAsiaTheme="majorEastAsia"/>
        </w:rPr>
        <w:t>1 Pourquoi ?</w:t>
      </w:r>
    </w:p>
    <w:p w:rsidR="00CD4DC6" w:rsidRPr="00EE584F" w:rsidRDefault="00CD4DC6" w:rsidP="00F654A9">
      <w:pPr>
        <w:pStyle w:val="TTextecourant"/>
        <w:rPr>
          <w:rFonts w:eastAsiaTheme="majorEastAsia"/>
        </w:rPr>
      </w:pPr>
      <w:r w:rsidRPr="00EE584F">
        <w:rPr>
          <w:rFonts w:eastAsiaTheme="majorEastAsia"/>
        </w:rPr>
        <w:t>Le processus d’achat bien maîtrisé peut être source de réduction des coûts (en cas de dysfonctionnement, de rupture de stock) et permet de travailler avec les fournisseurs qui correspondent aux besoins et aux exigences de la PME sans être dépendant d’eux.</w:t>
      </w:r>
    </w:p>
    <w:p w:rsidR="00CD4DC6" w:rsidRPr="00EE584F" w:rsidRDefault="00CD4DC6" w:rsidP="00F654A9">
      <w:pPr>
        <w:pStyle w:val="TTextecourant"/>
        <w:rPr>
          <w:rFonts w:eastAsiaTheme="majorEastAsia"/>
        </w:rPr>
      </w:pPr>
      <w:r w:rsidRPr="00EE584F">
        <w:rPr>
          <w:rFonts w:eastAsiaTheme="majorEastAsia"/>
        </w:rPr>
        <w:t>Évaluer les fournisseurs, c’est être dans un processus d’amélioration continue, pour que l’entreprise puisse bien séle</w:t>
      </w:r>
      <w:r w:rsidRPr="00EE584F">
        <w:rPr>
          <w:rFonts w:eastAsiaTheme="majorEastAsia"/>
        </w:rPr>
        <w:t>c</w:t>
      </w:r>
      <w:r w:rsidRPr="00EE584F">
        <w:rPr>
          <w:rFonts w:eastAsiaTheme="majorEastAsia"/>
        </w:rPr>
        <w:t>tionner ses fournisseurs et accroître sa capacité de réponse aux exigences des clients en matière de coût/délai/qualité (norme ISO 9001).</w:t>
      </w:r>
    </w:p>
    <w:p w:rsidR="00CD4DC6" w:rsidRPr="00EE584F" w:rsidRDefault="00CD4DC6" w:rsidP="00F654A9">
      <w:pPr>
        <w:pStyle w:val="06Questionenonce"/>
        <w:rPr>
          <w:rFonts w:eastAsiaTheme="majorEastAsia"/>
        </w:rPr>
      </w:pPr>
      <w:r w:rsidRPr="00EE584F">
        <w:rPr>
          <w:rFonts w:eastAsiaTheme="majorEastAsia"/>
        </w:rPr>
        <w:t>2 Comment ?</w:t>
      </w:r>
    </w:p>
    <w:p w:rsidR="00CD4DC6" w:rsidRPr="00EE584F" w:rsidRDefault="00CD4DC6" w:rsidP="00F654A9">
      <w:pPr>
        <w:pStyle w:val="TTextecourant"/>
        <w:rPr>
          <w:rFonts w:eastAsiaTheme="majorEastAsia"/>
        </w:rPr>
      </w:pPr>
      <w:r w:rsidRPr="00EE584F">
        <w:rPr>
          <w:rFonts w:eastAsiaTheme="majorEastAsia"/>
        </w:rPr>
        <w:t>Plusieurs phases sont nécessaires :</w:t>
      </w:r>
    </w:p>
    <w:p w:rsidR="00CD4DC6" w:rsidRPr="00EE584F" w:rsidRDefault="00CD4DC6" w:rsidP="00F654A9">
      <w:pPr>
        <w:pStyle w:val="TEnumpuce"/>
        <w:rPr>
          <w:rFonts w:eastAsiaTheme="majorEastAsia"/>
        </w:rPr>
      </w:pPr>
      <w:r w:rsidRPr="00EE584F">
        <w:rPr>
          <w:rFonts w:eastAsiaTheme="majorEastAsia"/>
        </w:rPr>
        <w:t>bien connaître ses fournisseurs : leur nombre, leur domaine d’activité, le volume des achats annuels en biens et se</w:t>
      </w:r>
      <w:r w:rsidRPr="00EE584F">
        <w:rPr>
          <w:rFonts w:eastAsiaTheme="majorEastAsia"/>
        </w:rPr>
        <w:t>r</w:t>
      </w:r>
      <w:r w:rsidRPr="00EE584F">
        <w:rPr>
          <w:rFonts w:eastAsiaTheme="majorEastAsia"/>
        </w:rPr>
        <w:t>vices, le risque associé avec chacun d’entre eux (fluctuation des coûts, disponibilité, dépe</w:t>
      </w:r>
      <w:r w:rsidRPr="00EE584F">
        <w:rPr>
          <w:rFonts w:eastAsiaTheme="majorEastAsia"/>
        </w:rPr>
        <w:t>n</w:t>
      </w:r>
      <w:r w:rsidRPr="00EE584F">
        <w:rPr>
          <w:rFonts w:eastAsiaTheme="majorEastAsia"/>
        </w:rPr>
        <w:t>dance) ;</w:t>
      </w:r>
    </w:p>
    <w:p w:rsidR="00CD4DC6" w:rsidRPr="00EE584F" w:rsidRDefault="00CD4DC6" w:rsidP="00F654A9">
      <w:pPr>
        <w:pStyle w:val="TEnumpuce"/>
        <w:rPr>
          <w:rFonts w:eastAsiaTheme="majorEastAsia"/>
        </w:rPr>
      </w:pPr>
      <w:r w:rsidRPr="00EE584F">
        <w:rPr>
          <w:rFonts w:eastAsiaTheme="majorEastAsia"/>
        </w:rPr>
        <w:t>définir une procédure pour :</w:t>
      </w:r>
    </w:p>
    <w:p w:rsidR="00CD4DC6" w:rsidRPr="00EE584F" w:rsidRDefault="00CD4DC6" w:rsidP="00F654A9">
      <w:pPr>
        <w:pStyle w:val="TEnumpuce"/>
        <w:rPr>
          <w:rFonts w:eastAsiaTheme="majorEastAsia"/>
        </w:rPr>
      </w:pPr>
      <w:r w:rsidRPr="00EE584F">
        <w:rPr>
          <w:rFonts w:eastAsiaTheme="majorEastAsia"/>
        </w:rPr>
        <w:t>mesurer les performances des fournisseurs : choix des indicateurs de performance (qualité, délais, etc.), déterminer les limites acceptables pour chacun des indicateurs, créer un tableau de bord ;</w:t>
      </w:r>
    </w:p>
    <w:p w:rsidR="00CD4DC6" w:rsidRPr="00EE584F" w:rsidRDefault="00CD4DC6" w:rsidP="00F654A9">
      <w:pPr>
        <w:pStyle w:val="TEnumpuce"/>
        <w:rPr>
          <w:rFonts w:eastAsiaTheme="majorEastAsia"/>
        </w:rPr>
      </w:pPr>
      <w:r w:rsidRPr="00EE584F">
        <w:rPr>
          <w:rFonts w:eastAsiaTheme="majorEastAsia"/>
        </w:rPr>
        <w:t>faire des demandes d’actions correctives : créer un formulaire standard, fixer un délai de réponse et suivre les d</w:t>
      </w:r>
      <w:r w:rsidRPr="00EE584F">
        <w:rPr>
          <w:rFonts w:eastAsiaTheme="majorEastAsia"/>
        </w:rPr>
        <w:t>e</w:t>
      </w:r>
      <w:r w:rsidRPr="00EE584F">
        <w:rPr>
          <w:rFonts w:eastAsiaTheme="majorEastAsia"/>
        </w:rPr>
        <w:t>mandes ;</w:t>
      </w:r>
    </w:p>
    <w:p w:rsidR="00CD4DC6" w:rsidRPr="00EE584F" w:rsidRDefault="00CD4DC6" w:rsidP="00F654A9">
      <w:pPr>
        <w:pStyle w:val="TEnumpuce"/>
        <w:rPr>
          <w:rFonts w:eastAsiaTheme="majorEastAsia"/>
        </w:rPr>
      </w:pPr>
      <w:r w:rsidRPr="00EE584F">
        <w:rPr>
          <w:rFonts w:eastAsiaTheme="majorEastAsia"/>
        </w:rPr>
        <w:t>assigner un responsable pour gérer plus efficacement les relations fournisseurs ;</w:t>
      </w:r>
    </w:p>
    <w:p w:rsidR="00CD4DC6" w:rsidRPr="00EE584F" w:rsidRDefault="00CD4DC6" w:rsidP="00F654A9">
      <w:pPr>
        <w:pStyle w:val="TEnumpuce"/>
        <w:rPr>
          <w:rFonts w:eastAsiaTheme="majorEastAsia"/>
        </w:rPr>
      </w:pPr>
      <w:r w:rsidRPr="00EE584F">
        <w:rPr>
          <w:rFonts w:eastAsiaTheme="majorEastAsia"/>
        </w:rPr>
        <w:t>suivre les activités avec les fournisseurs et les cas de non-conformité ;</w:t>
      </w:r>
    </w:p>
    <w:p w:rsidR="00CD4DC6" w:rsidRPr="00EE584F" w:rsidRDefault="00CD4DC6" w:rsidP="00F654A9">
      <w:pPr>
        <w:pStyle w:val="TEnumpuce"/>
        <w:rPr>
          <w:rFonts w:eastAsiaTheme="majorEastAsia"/>
        </w:rPr>
      </w:pPr>
      <w:r w:rsidRPr="00EE584F">
        <w:rPr>
          <w:rFonts w:eastAsiaTheme="majorEastAsia"/>
        </w:rPr>
        <w:t>réaliser une évaluation périodique : rendre visite au fournisseur, analyser les données, rédiger un rapport d’évaluation.</w:t>
      </w:r>
    </w:p>
    <w:sectPr w:rsidR="00CD4DC6" w:rsidRPr="00EE584F" w:rsidSect="004016EA">
      <w:footerReference w:type="even" r:id="rId14"/>
      <w:footerReference w:type="default" r:id="rId15"/>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3BC8" w:rsidRDefault="004F3BC8" w:rsidP="004016EA">
      <w:r>
        <w:separator/>
      </w:r>
    </w:p>
  </w:endnote>
  <w:endnote w:type="continuationSeparator" w:id="0">
    <w:p w:rsidR="004F3BC8" w:rsidRDefault="004F3BC8"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0000000000000000000"/>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F654A9">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F654A9">
      <w:rPr>
        <w:rStyle w:val="Folio"/>
        <w:b/>
        <w:bCs/>
        <w:noProof/>
      </w:rPr>
      <w:t>2</w:t>
    </w:r>
    <w:r>
      <w:rPr>
        <w:rStyle w:val="Folio"/>
        <w:b/>
        <w:bCs/>
      </w:rPr>
      <w:fldChar w:fldCharType="end"/>
    </w:r>
    <w:r w:rsidR="004016EA">
      <w:rPr>
        <w:rStyle w:val="Folio"/>
        <w:b/>
        <w:bCs/>
      </w:rPr>
      <w:t xml:space="preserve">  </w:t>
    </w:r>
    <w:r w:rsidR="004016EA">
      <w:rPr>
        <w:w w:val="100"/>
      </w:rPr>
      <w:tab/>
    </w:r>
    <w:r w:rsidR="00F654A9">
      <w:rPr>
        <w:w w:val="100"/>
      </w:rPr>
      <w:t xml:space="preserve">Situation professionnelle </w:t>
    </w:r>
    <w:proofErr w:type="spellStart"/>
    <w:r w:rsidR="00F654A9">
      <w:rPr>
        <w:w w:val="100"/>
      </w:rPr>
      <w:t>Mendi</w:t>
    </w:r>
    <w:proofErr w:type="spellEnd"/>
    <w:r w:rsidR="00F654A9">
      <w:rPr>
        <w:w w:val="100"/>
      </w:rPr>
      <w:t xml:space="preserve"> Alde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F654A9">
      <w:rPr>
        <w:rStyle w:val="Bold"/>
      </w:rPr>
      <w:t>12</w:t>
    </w:r>
    <w:r>
      <w:t xml:space="preserve"> - </w:t>
    </w:r>
    <w:r w:rsidR="00F654A9" w:rsidRPr="00EE584F">
      <w:t>Contrôle des achats et des règlements, évaluation des fournisseurs</w:t>
    </w:r>
    <w:r>
      <w:tab/>
    </w:r>
    <w:r w:rsidR="006C0120">
      <w:rPr>
        <w:rStyle w:val="Folio"/>
      </w:rPr>
      <w:fldChar w:fldCharType="begin"/>
    </w:r>
    <w:r>
      <w:rPr>
        <w:rStyle w:val="Folio"/>
      </w:rPr>
      <w:instrText xml:space="preserve"> PAGE </w:instrText>
    </w:r>
    <w:r w:rsidR="006C0120">
      <w:rPr>
        <w:rStyle w:val="Folio"/>
      </w:rPr>
      <w:fldChar w:fldCharType="separate"/>
    </w:r>
    <w:r w:rsidR="00F654A9">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3BC8" w:rsidRDefault="004F3BC8" w:rsidP="004016EA">
      <w:r>
        <w:separator/>
      </w:r>
    </w:p>
  </w:footnote>
  <w:footnote w:type="continuationSeparator" w:id="0">
    <w:p w:rsidR="004F3BC8" w:rsidRDefault="004F3BC8"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24646B"/>
    <w:rsid w:val="00257766"/>
    <w:rsid w:val="0030498C"/>
    <w:rsid w:val="00324F73"/>
    <w:rsid w:val="00394FED"/>
    <w:rsid w:val="003A6641"/>
    <w:rsid w:val="004016EA"/>
    <w:rsid w:val="004A1FB0"/>
    <w:rsid w:val="004E20A9"/>
    <w:rsid w:val="004E2AD9"/>
    <w:rsid w:val="004F3BC8"/>
    <w:rsid w:val="006B172B"/>
    <w:rsid w:val="006B7D00"/>
    <w:rsid w:val="006C0120"/>
    <w:rsid w:val="00722537"/>
    <w:rsid w:val="00757BA2"/>
    <w:rsid w:val="007763D4"/>
    <w:rsid w:val="0079080C"/>
    <w:rsid w:val="00806FB8"/>
    <w:rsid w:val="00810809"/>
    <w:rsid w:val="008554DD"/>
    <w:rsid w:val="009215F2"/>
    <w:rsid w:val="009C3943"/>
    <w:rsid w:val="009C7BAC"/>
    <w:rsid w:val="00AD6532"/>
    <w:rsid w:val="00B81F3B"/>
    <w:rsid w:val="00BD34C9"/>
    <w:rsid w:val="00BF47D4"/>
    <w:rsid w:val="00C02E8D"/>
    <w:rsid w:val="00C20988"/>
    <w:rsid w:val="00C37BCE"/>
    <w:rsid w:val="00C77F4A"/>
    <w:rsid w:val="00CD4DC6"/>
    <w:rsid w:val="00CF04A9"/>
    <w:rsid w:val="00CF17D4"/>
    <w:rsid w:val="00D1160A"/>
    <w:rsid w:val="00EE26B7"/>
    <w:rsid w:val="00EE3A58"/>
    <w:rsid w:val="00F030C4"/>
    <w:rsid w:val="00F45FE9"/>
    <w:rsid w:val="00F654A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diagramLayout" Target="diagrams/layout1.xml"/><Relationship Id="rId4" Type="http://schemas.microsoft.com/office/2007/relationships/stylesWithEffects" Target="stylesWithEffects.xml"/><Relationship Id="rId9" Type="http://schemas.openxmlformats.org/officeDocument/2006/relationships/diagramData" Target="diagrams/data1.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A4037D9-DF26-41DA-9244-790A37C98EFA}" type="doc">
      <dgm:prSet loTypeId="urn:microsoft.com/office/officeart/2005/8/layout/process2" loCatId="process" qsTypeId="urn:microsoft.com/office/officeart/2005/8/quickstyle/simple1" qsCatId="simple" csTypeId="urn:microsoft.com/office/officeart/2005/8/colors/colorful1" csCatId="colorful" phldr="1"/>
      <dgm:spPr/>
    </dgm:pt>
    <dgm:pt modelId="{51D95D92-B244-4982-8E9F-A354191F20AD}">
      <dgm:prSet phldrT="[Texte]"/>
      <dgm:spPr/>
      <dgm:t>
        <a:bodyPr/>
        <a:lstStyle/>
        <a:p>
          <a:r>
            <a:rPr lang="fr-FR"/>
            <a:t>Commandes : bon de commande</a:t>
          </a:r>
        </a:p>
      </dgm:t>
    </dgm:pt>
    <dgm:pt modelId="{4E4B4706-384F-4B14-AB79-67B21B133A04}" type="parTrans" cxnId="{6D624488-7618-476A-A205-17A19FF6CF0E}">
      <dgm:prSet/>
      <dgm:spPr/>
      <dgm:t>
        <a:bodyPr/>
        <a:lstStyle/>
        <a:p>
          <a:endParaRPr lang="fr-FR"/>
        </a:p>
      </dgm:t>
    </dgm:pt>
    <dgm:pt modelId="{580E32B4-DFDC-4FF4-973B-B153CE789B70}" type="sibTrans" cxnId="{6D624488-7618-476A-A205-17A19FF6CF0E}">
      <dgm:prSet/>
      <dgm:spPr/>
      <dgm:t>
        <a:bodyPr/>
        <a:lstStyle/>
        <a:p>
          <a:endParaRPr lang="fr-FR"/>
        </a:p>
      </dgm:t>
    </dgm:pt>
    <dgm:pt modelId="{E293BB43-9C01-47CC-B72A-D12B2F76CDE9}">
      <dgm:prSet phldrT="[Texte]"/>
      <dgm:spPr/>
      <dgm:t>
        <a:bodyPr/>
        <a:lstStyle/>
        <a:p>
          <a:r>
            <a:rPr lang="fr-FR"/>
            <a:t>Réception des commandes : bon de livraison</a:t>
          </a:r>
        </a:p>
      </dgm:t>
    </dgm:pt>
    <dgm:pt modelId="{7164C5EB-07B3-460A-8029-4B1AF97FB97B}" type="parTrans" cxnId="{558B3977-B239-4768-85F3-CC68C0CE7D33}">
      <dgm:prSet/>
      <dgm:spPr/>
      <dgm:t>
        <a:bodyPr/>
        <a:lstStyle/>
        <a:p>
          <a:endParaRPr lang="fr-FR"/>
        </a:p>
      </dgm:t>
    </dgm:pt>
    <dgm:pt modelId="{2E9F4B0D-9353-4D55-87F1-C860F10C8804}" type="sibTrans" cxnId="{558B3977-B239-4768-85F3-CC68C0CE7D33}">
      <dgm:prSet/>
      <dgm:spPr/>
      <dgm:t>
        <a:bodyPr/>
        <a:lstStyle/>
        <a:p>
          <a:endParaRPr lang="fr-FR"/>
        </a:p>
      </dgm:t>
    </dgm:pt>
    <dgm:pt modelId="{D9A2D272-EAC9-42A7-BF80-8602B1F15A36}">
      <dgm:prSet phldrT="[Texte]"/>
      <dgm:spPr/>
      <dgm:t>
        <a:bodyPr/>
        <a:lstStyle/>
        <a:p>
          <a:r>
            <a:rPr lang="fr-FR"/>
            <a:t>Réception des factures</a:t>
          </a:r>
        </a:p>
      </dgm:t>
    </dgm:pt>
    <dgm:pt modelId="{71EEE5F9-3F38-47FF-BCEA-62C77065B1CA}" type="parTrans" cxnId="{10C33790-493E-4AAB-B176-7444242F204D}">
      <dgm:prSet/>
      <dgm:spPr/>
      <dgm:t>
        <a:bodyPr/>
        <a:lstStyle/>
        <a:p>
          <a:endParaRPr lang="fr-FR"/>
        </a:p>
      </dgm:t>
    </dgm:pt>
    <dgm:pt modelId="{830EF748-0F7F-4C82-A79C-E1FF3F197B01}" type="sibTrans" cxnId="{10C33790-493E-4AAB-B176-7444242F204D}">
      <dgm:prSet/>
      <dgm:spPr/>
      <dgm:t>
        <a:bodyPr/>
        <a:lstStyle/>
        <a:p>
          <a:endParaRPr lang="fr-FR"/>
        </a:p>
      </dgm:t>
    </dgm:pt>
    <dgm:pt modelId="{B56DEA24-3F9F-48DA-8F91-BB289DEA3759}">
      <dgm:prSet phldrT="[Texte]"/>
      <dgm:spPr/>
      <dgm:t>
        <a:bodyPr/>
        <a:lstStyle/>
        <a:p>
          <a:r>
            <a:rPr lang="fr-FR"/>
            <a:t>Comptabilisation</a:t>
          </a:r>
        </a:p>
      </dgm:t>
    </dgm:pt>
    <dgm:pt modelId="{108BF58A-7829-4664-9FA8-AC7A129C012D}" type="parTrans" cxnId="{AD8D10C2-4F52-4242-BB4E-F2F02CB7F751}">
      <dgm:prSet/>
      <dgm:spPr/>
      <dgm:t>
        <a:bodyPr/>
        <a:lstStyle/>
        <a:p>
          <a:endParaRPr lang="fr-FR"/>
        </a:p>
      </dgm:t>
    </dgm:pt>
    <dgm:pt modelId="{8B2D28A6-69B2-456D-A086-70204558D97F}" type="sibTrans" cxnId="{AD8D10C2-4F52-4242-BB4E-F2F02CB7F751}">
      <dgm:prSet/>
      <dgm:spPr/>
      <dgm:t>
        <a:bodyPr/>
        <a:lstStyle/>
        <a:p>
          <a:endParaRPr lang="fr-FR"/>
        </a:p>
      </dgm:t>
    </dgm:pt>
    <dgm:pt modelId="{6BC62037-FC2C-41A2-B278-8E873A0EC8AB}">
      <dgm:prSet phldrT="[Texte]"/>
      <dgm:spPr/>
      <dgm:t>
        <a:bodyPr/>
        <a:lstStyle/>
        <a:p>
          <a:r>
            <a:rPr lang="fr-FR"/>
            <a:t>Règlements</a:t>
          </a:r>
        </a:p>
      </dgm:t>
    </dgm:pt>
    <dgm:pt modelId="{4C6098F8-8ED7-44F0-81A1-89F154A67C81}" type="parTrans" cxnId="{821BCF48-35FB-430C-85D3-221F649CF74F}">
      <dgm:prSet/>
      <dgm:spPr/>
      <dgm:t>
        <a:bodyPr/>
        <a:lstStyle/>
        <a:p>
          <a:endParaRPr lang="fr-FR"/>
        </a:p>
      </dgm:t>
    </dgm:pt>
    <dgm:pt modelId="{C9367479-69AD-4D3E-9170-0823F48F09B6}" type="sibTrans" cxnId="{821BCF48-35FB-430C-85D3-221F649CF74F}">
      <dgm:prSet/>
      <dgm:spPr/>
      <dgm:t>
        <a:bodyPr/>
        <a:lstStyle/>
        <a:p>
          <a:endParaRPr lang="fr-FR"/>
        </a:p>
      </dgm:t>
    </dgm:pt>
    <dgm:pt modelId="{19553EBB-6B5B-4A70-95A2-303040E5137A}" type="pres">
      <dgm:prSet presAssocID="{7A4037D9-DF26-41DA-9244-790A37C98EFA}" presName="linearFlow" presStyleCnt="0">
        <dgm:presLayoutVars>
          <dgm:resizeHandles val="exact"/>
        </dgm:presLayoutVars>
      </dgm:prSet>
      <dgm:spPr/>
    </dgm:pt>
    <dgm:pt modelId="{141AF5B2-2C51-410C-96F8-036219857FDE}" type="pres">
      <dgm:prSet presAssocID="{51D95D92-B244-4982-8E9F-A354191F20AD}" presName="node" presStyleLbl="node1" presStyleIdx="0" presStyleCnt="5">
        <dgm:presLayoutVars>
          <dgm:bulletEnabled val="1"/>
        </dgm:presLayoutVars>
      </dgm:prSet>
      <dgm:spPr/>
    </dgm:pt>
    <dgm:pt modelId="{B71FF80F-6F74-4C47-8164-EFDF54D5BF6F}" type="pres">
      <dgm:prSet presAssocID="{580E32B4-DFDC-4FF4-973B-B153CE789B70}" presName="sibTrans" presStyleLbl="sibTrans2D1" presStyleIdx="0" presStyleCnt="4"/>
      <dgm:spPr/>
    </dgm:pt>
    <dgm:pt modelId="{392B952C-B897-48EA-AF76-31B53E5DE534}" type="pres">
      <dgm:prSet presAssocID="{580E32B4-DFDC-4FF4-973B-B153CE789B70}" presName="connectorText" presStyleLbl="sibTrans2D1" presStyleIdx="0" presStyleCnt="4"/>
      <dgm:spPr/>
    </dgm:pt>
    <dgm:pt modelId="{8756C48A-DEBB-42E9-9C9B-F4DB5E3D72AB}" type="pres">
      <dgm:prSet presAssocID="{E293BB43-9C01-47CC-B72A-D12B2F76CDE9}" presName="node" presStyleLbl="node1" presStyleIdx="1" presStyleCnt="5">
        <dgm:presLayoutVars>
          <dgm:bulletEnabled val="1"/>
        </dgm:presLayoutVars>
      </dgm:prSet>
      <dgm:spPr/>
      <dgm:t>
        <a:bodyPr/>
        <a:lstStyle/>
        <a:p>
          <a:endParaRPr lang="fr-FR"/>
        </a:p>
      </dgm:t>
    </dgm:pt>
    <dgm:pt modelId="{3F0585BE-33B6-499D-ABD9-75054A8070AA}" type="pres">
      <dgm:prSet presAssocID="{2E9F4B0D-9353-4D55-87F1-C860F10C8804}" presName="sibTrans" presStyleLbl="sibTrans2D1" presStyleIdx="1" presStyleCnt="4"/>
      <dgm:spPr/>
    </dgm:pt>
    <dgm:pt modelId="{69ACEE3D-E334-4D52-87E2-ED155D7C18D0}" type="pres">
      <dgm:prSet presAssocID="{2E9F4B0D-9353-4D55-87F1-C860F10C8804}" presName="connectorText" presStyleLbl="sibTrans2D1" presStyleIdx="1" presStyleCnt="4"/>
      <dgm:spPr/>
    </dgm:pt>
    <dgm:pt modelId="{9DA08586-613D-4923-90BC-E6BA6AFACE61}" type="pres">
      <dgm:prSet presAssocID="{D9A2D272-EAC9-42A7-BF80-8602B1F15A36}" presName="node" presStyleLbl="node1" presStyleIdx="2" presStyleCnt="5">
        <dgm:presLayoutVars>
          <dgm:bulletEnabled val="1"/>
        </dgm:presLayoutVars>
      </dgm:prSet>
      <dgm:spPr/>
      <dgm:t>
        <a:bodyPr/>
        <a:lstStyle/>
        <a:p>
          <a:endParaRPr lang="fr-FR"/>
        </a:p>
      </dgm:t>
    </dgm:pt>
    <dgm:pt modelId="{7C7E0D6A-E091-4D7A-9EBC-501B9175987D}" type="pres">
      <dgm:prSet presAssocID="{830EF748-0F7F-4C82-A79C-E1FF3F197B01}" presName="sibTrans" presStyleLbl="sibTrans2D1" presStyleIdx="2" presStyleCnt="4"/>
      <dgm:spPr/>
    </dgm:pt>
    <dgm:pt modelId="{6A5C34A1-7FF7-4124-B9E2-52CB3FD8F9A1}" type="pres">
      <dgm:prSet presAssocID="{830EF748-0F7F-4C82-A79C-E1FF3F197B01}" presName="connectorText" presStyleLbl="sibTrans2D1" presStyleIdx="2" presStyleCnt="4"/>
      <dgm:spPr/>
    </dgm:pt>
    <dgm:pt modelId="{CAF0FF9F-0414-4FFC-9041-6492A16F94FD}" type="pres">
      <dgm:prSet presAssocID="{B56DEA24-3F9F-48DA-8F91-BB289DEA3759}" presName="node" presStyleLbl="node1" presStyleIdx="3" presStyleCnt="5">
        <dgm:presLayoutVars>
          <dgm:bulletEnabled val="1"/>
        </dgm:presLayoutVars>
      </dgm:prSet>
      <dgm:spPr/>
    </dgm:pt>
    <dgm:pt modelId="{467555E7-6D30-4898-8A4A-B914C299E28F}" type="pres">
      <dgm:prSet presAssocID="{8B2D28A6-69B2-456D-A086-70204558D97F}" presName="sibTrans" presStyleLbl="sibTrans2D1" presStyleIdx="3" presStyleCnt="4"/>
      <dgm:spPr/>
    </dgm:pt>
    <dgm:pt modelId="{22286A6C-7DA5-459C-993E-9AA8E800748E}" type="pres">
      <dgm:prSet presAssocID="{8B2D28A6-69B2-456D-A086-70204558D97F}" presName="connectorText" presStyleLbl="sibTrans2D1" presStyleIdx="3" presStyleCnt="4"/>
      <dgm:spPr/>
    </dgm:pt>
    <dgm:pt modelId="{509D62B7-2EA3-4FA0-9C01-70B5F57BD9FF}" type="pres">
      <dgm:prSet presAssocID="{6BC62037-FC2C-41A2-B278-8E873A0EC8AB}" presName="node" presStyleLbl="node1" presStyleIdx="4" presStyleCnt="5">
        <dgm:presLayoutVars>
          <dgm:bulletEnabled val="1"/>
        </dgm:presLayoutVars>
      </dgm:prSet>
      <dgm:spPr/>
      <dgm:t>
        <a:bodyPr/>
        <a:lstStyle/>
        <a:p>
          <a:endParaRPr lang="fr-FR"/>
        </a:p>
      </dgm:t>
    </dgm:pt>
  </dgm:ptLst>
  <dgm:cxnLst>
    <dgm:cxn modelId="{9B950FA4-94EF-4592-B648-D0B7B559BC2E}" type="presOf" srcId="{7A4037D9-DF26-41DA-9244-790A37C98EFA}" destId="{19553EBB-6B5B-4A70-95A2-303040E5137A}" srcOrd="0" destOrd="0" presId="urn:microsoft.com/office/officeart/2005/8/layout/process2"/>
    <dgm:cxn modelId="{10C33790-493E-4AAB-B176-7444242F204D}" srcId="{7A4037D9-DF26-41DA-9244-790A37C98EFA}" destId="{D9A2D272-EAC9-42A7-BF80-8602B1F15A36}" srcOrd="2" destOrd="0" parTransId="{71EEE5F9-3F38-47FF-BCEA-62C77065B1CA}" sibTransId="{830EF748-0F7F-4C82-A79C-E1FF3F197B01}"/>
    <dgm:cxn modelId="{116F0052-77C7-4A77-9CF9-2A2A2483C690}" type="presOf" srcId="{580E32B4-DFDC-4FF4-973B-B153CE789B70}" destId="{392B952C-B897-48EA-AF76-31B53E5DE534}" srcOrd="1" destOrd="0" presId="urn:microsoft.com/office/officeart/2005/8/layout/process2"/>
    <dgm:cxn modelId="{821BCF48-35FB-430C-85D3-221F649CF74F}" srcId="{7A4037D9-DF26-41DA-9244-790A37C98EFA}" destId="{6BC62037-FC2C-41A2-B278-8E873A0EC8AB}" srcOrd="4" destOrd="0" parTransId="{4C6098F8-8ED7-44F0-81A1-89F154A67C81}" sibTransId="{C9367479-69AD-4D3E-9170-0823F48F09B6}"/>
    <dgm:cxn modelId="{07F5F10B-DB94-427B-A23B-648F36E968EA}" type="presOf" srcId="{8B2D28A6-69B2-456D-A086-70204558D97F}" destId="{467555E7-6D30-4898-8A4A-B914C299E28F}" srcOrd="0" destOrd="0" presId="urn:microsoft.com/office/officeart/2005/8/layout/process2"/>
    <dgm:cxn modelId="{1F38DAAE-4D5D-469C-8A1E-A31E8AA6CB32}" type="presOf" srcId="{2E9F4B0D-9353-4D55-87F1-C860F10C8804}" destId="{69ACEE3D-E334-4D52-87E2-ED155D7C18D0}" srcOrd="1" destOrd="0" presId="urn:microsoft.com/office/officeart/2005/8/layout/process2"/>
    <dgm:cxn modelId="{E28CA393-F35A-48C3-9601-8A06EE869CAE}" type="presOf" srcId="{6BC62037-FC2C-41A2-B278-8E873A0EC8AB}" destId="{509D62B7-2EA3-4FA0-9C01-70B5F57BD9FF}" srcOrd="0" destOrd="0" presId="urn:microsoft.com/office/officeart/2005/8/layout/process2"/>
    <dgm:cxn modelId="{CB018FB9-0498-43BF-8915-008A0C054CF2}" type="presOf" srcId="{51D95D92-B244-4982-8E9F-A354191F20AD}" destId="{141AF5B2-2C51-410C-96F8-036219857FDE}" srcOrd="0" destOrd="0" presId="urn:microsoft.com/office/officeart/2005/8/layout/process2"/>
    <dgm:cxn modelId="{5CE7F5BB-B2D7-41D5-BBF0-36001E791AB8}" type="presOf" srcId="{8B2D28A6-69B2-456D-A086-70204558D97F}" destId="{22286A6C-7DA5-459C-993E-9AA8E800748E}" srcOrd="1" destOrd="0" presId="urn:microsoft.com/office/officeart/2005/8/layout/process2"/>
    <dgm:cxn modelId="{6D624488-7618-476A-A205-17A19FF6CF0E}" srcId="{7A4037D9-DF26-41DA-9244-790A37C98EFA}" destId="{51D95D92-B244-4982-8E9F-A354191F20AD}" srcOrd="0" destOrd="0" parTransId="{4E4B4706-384F-4B14-AB79-67B21B133A04}" sibTransId="{580E32B4-DFDC-4FF4-973B-B153CE789B70}"/>
    <dgm:cxn modelId="{5B88C7AB-3948-45FA-9A32-F83BC177688F}" type="presOf" srcId="{B56DEA24-3F9F-48DA-8F91-BB289DEA3759}" destId="{CAF0FF9F-0414-4FFC-9041-6492A16F94FD}" srcOrd="0" destOrd="0" presId="urn:microsoft.com/office/officeart/2005/8/layout/process2"/>
    <dgm:cxn modelId="{E319387A-0C99-41F7-B927-F0BC0121F45C}" type="presOf" srcId="{E293BB43-9C01-47CC-B72A-D12B2F76CDE9}" destId="{8756C48A-DEBB-42E9-9C9B-F4DB5E3D72AB}" srcOrd="0" destOrd="0" presId="urn:microsoft.com/office/officeart/2005/8/layout/process2"/>
    <dgm:cxn modelId="{8580F95F-791A-4E30-B341-8E8C8F9E0E1E}" type="presOf" srcId="{D9A2D272-EAC9-42A7-BF80-8602B1F15A36}" destId="{9DA08586-613D-4923-90BC-E6BA6AFACE61}" srcOrd="0" destOrd="0" presId="urn:microsoft.com/office/officeart/2005/8/layout/process2"/>
    <dgm:cxn modelId="{4324B7B6-CD3A-4811-817F-D10CAFE1380D}" type="presOf" srcId="{830EF748-0F7F-4C82-A79C-E1FF3F197B01}" destId="{7C7E0D6A-E091-4D7A-9EBC-501B9175987D}" srcOrd="0" destOrd="0" presId="urn:microsoft.com/office/officeart/2005/8/layout/process2"/>
    <dgm:cxn modelId="{558B3977-B239-4768-85F3-CC68C0CE7D33}" srcId="{7A4037D9-DF26-41DA-9244-790A37C98EFA}" destId="{E293BB43-9C01-47CC-B72A-D12B2F76CDE9}" srcOrd="1" destOrd="0" parTransId="{7164C5EB-07B3-460A-8029-4B1AF97FB97B}" sibTransId="{2E9F4B0D-9353-4D55-87F1-C860F10C8804}"/>
    <dgm:cxn modelId="{AD8D10C2-4F52-4242-BB4E-F2F02CB7F751}" srcId="{7A4037D9-DF26-41DA-9244-790A37C98EFA}" destId="{B56DEA24-3F9F-48DA-8F91-BB289DEA3759}" srcOrd="3" destOrd="0" parTransId="{108BF58A-7829-4664-9FA8-AC7A129C012D}" sibTransId="{8B2D28A6-69B2-456D-A086-70204558D97F}"/>
    <dgm:cxn modelId="{BF5FACD9-356E-426E-A78E-8F0BEE9E9353}" type="presOf" srcId="{2E9F4B0D-9353-4D55-87F1-C860F10C8804}" destId="{3F0585BE-33B6-499D-ABD9-75054A8070AA}" srcOrd="0" destOrd="0" presId="urn:microsoft.com/office/officeart/2005/8/layout/process2"/>
    <dgm:cxn modelId="{A4308A93-93DB-44E7-92B1-8628641E54F9}" type="presOf" srcId="{830EF748-0F7F-4C82-A79C-E1FF3F197B01}" destId="{6A5C34A1-7FF7-4124-B9E2-52CB3FD8F9A1}" srcOrd="1" destOrd="0" presId="urn:microsoft.com/office/officeart/2005/8/layout/process2"/>
    <dgm:cxn modelId="{0D57C753-46A0-4161-8ED8-86BA8AB5F551}" type="presOf" srcId="{580E32B4-DFDC-4FF4-973B-B153CE789B70}" destId="{B71FF80F-6F74-4C47-8164-EFDF54D5BF6F}" srcOrd="0" destOrd="0" presId="urn:microsoft.com/office/officeart/2005/8/layout/process2"/>
    <dgm:cxn modelId="{B17155D6-5B8C-4FF0-A506-E81CB39EA51F}" type="presParOf" srcId="{19553EBB-6B5B-4A70-95A2-303040E5137A}" destId="{141AF5B2-2C51-410C-96F8-036219857FDE}" srcOrd="0" destOrd="0" presId="urn:microsoft.com/office/officeart/2005/8/layout/process2"/>
    <dgm:cxn modelId="{51B620D6-B68B-499A-9EBE-CD021D81EFA2}" type="presParOf" srcId="{19553EBB-6B5B-4A70-95A2-303040E5137A}" destId="{B71FF80F-6F74-4C47-8164-EFDF54D5BF6F}" srcOrd="1" destOrd="0" presId="urn:microsoft.com/office/officeart/2005/8/layout/process2"/>
    <dgm:cxn modelId="{2F3645B0-FDF8-47E9-9665-8931773393CA}" type="presParOf" srcId="{B71FF80F-6F74-4C47-8164-EFDF54D5BF6F}" destId="{392B952C-B897-48EA-AF76-31B53E5DE534}" srcOrd="0" destOrd="0" presId="urn:microsoft.com/office/officeart/2005/8/layout/process2"/>
    <dgm:cxn modelId="{FAB24619-3DF9-4903-BFA2-F8164FCD851D}" type="presParOf" srcId="{19553EBB-6B5B-4A70-95A2-303040E5137A}" destId="{8756C48A-DEBB-42E9-9C9B-F4DB5E3D72AB}" srcOrd="2" destOrd="0" presId="urn:microsoft.com/office/officeart/2005/8/layout/process2"/>
    <dgm:cxn modelId="{BB3F8BFC-A357-4CBA-BAD5-2E86FDB0373C}" type="presParOf" srcId="{19553EBB-6B5B-4A70-95A2-303040E5137A}" destId="{3F0585BE-33B6-499D-ABD9-75054A8070AA}" srcOrd="3" destOrd="0" presId="urn:microsoft.com/office/officeart/2005/8/layout/process2"/>
    <dgm:cxn modelId="{FD4E35F3-0D5F-4E54-BA6F-86659B62344F}" type="presParOf" srcId="{3F0585BE-33B6-499D-ABD9-75054A8070AA}" destId="{69ACEE3D-E334-4D52-87E2-ED155D7C18D0}" srcOrd="0" destOrd="0" presId="urn:microsoft.com/office/officeart/2005/8/layout/process2"/>
    <dgm:cxn modelId="{BC55F5E0-0010-4941-A2F4-1034AFBAE7B7}" type="presParOf" srcId="{19553EBB-6B5B-4A70-95A2-303040E5137A}" destId="{9DA08586-613D-4923-90BC-E6BA6AFACE61}" srcOrd="4" destOrd="0" presId="urn:microsoft.com/office/officeart/2005/8/layout/process2"/>
    <dgm:cxn modelId="{DE5D8A62-28ED-42CA-8F5F-140A4AF99FD1}" type="presParOf" srcId="{19553EBB-6B5B-4A70-95A2-303040E5137A}" destId="{7C7E0D6A-E091-4D7A-9EBC-501B9175987D}" srcOrd="5" destOrd="0" presId="urn:microsoft.com/office/officeart/2005/8/layout/process2"/>
    <dgm:cxn modelId="{53E70C9E-E79B-40B2-B4E3-3AD22C5166AA}" type="presParOf" srcId="{7C7E0D6A-E091-4D7A-9EBC-501B9175987D}" destId="{6A5C34A1-7FF7-4124-B9E2-52CB3FD8F9A1}" srcOrd="0" destOrd="0" presId="urn:microsoft.com/office/officeart/2005/8/layout/process2"/>
    <dgm:cxn modelId="{E1B28E35-BFC6-481B-951E-21BA5ED0CD4B}" type="presParOf" srcId="{19553EBB-6B5B-4A70-95A2-303040E5137A}" destId="{CAF0FF9F-0414-4FFC-9041-6492A16F94FD}" srcOrd="6" destOrd="0" presId="urn:microsoft.com/office/officeart/2005/8/layout/process2"/>
    <dgm:cxn modelId="{A2D7724B-C37E-493F-84EA-3D66F5A58A2D}" type="presParOf" srcId="{19553EBB-6B5B-4A70-95A2-303040E5137A}" destId="{467555E7-6D30-4898-8A4A-B914C299E28F}" srcOrd="7" destOrd="0" presId="urn:microsoft.com/office/officeart/2005/8/layout/process2"/>
    <dgm:cxn modelId="{506EC180-4C6B-4551-8FF3-1DB4CBE53E7F}" type="presParOf" srcId="{467555E7-6D30-4898-8A4A-B914C299E28F}" destId="{22286A6C-7DA5-459C-993E-9AA8E800748E}" srcOrd="0" destOrd="0" presId="urn:microsoft.com/office/officeart/2005/8/layout/process2"/>
    <dgm:cxn modelId="{1FE916A3-7131-48F4-8231-872B3A9404A3}" type="presParOf" srcId="{19553EBB-6B5B-4A70-95A2-303040E5137A}" destId="{509D62B7-2EA3-4FA0-9C01-70B5F57BD9FF}" srcOrd="8" destOrd="0" presId="urn:microsoft.com/office/officeart/2005/8/layout/process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1AF5B2-2C51-410C-96F8-036219857FDE}">
      <dsp:nvSpPr>
        <dsp:cNvPr id="0" name=""/>
        <dsp:cNvSpPr/>
      </dsp:nvSpPr>
      <dsp:spPr>
        <a:xfrm>
          <a:off x="1846699" y="390"/>
          <a:ext cx="1793000" cy="457088"/>
        </a:xfrm>
        <a:prstGeom prst="roundRect">
          <a:avLst>
            <a:gd name="adj" fmla="val 10000"/>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t>Commandes : bon de commande</a:t>
          </a:r>
        </a:p>
      </dsp:txBody>
      <dsp:txXfrm>
        <a:off x="1860087" y="13778"/>
        <a:ext cx="1766224" cy="430312"/>
      </dsp:txXfrm>
    </dsp:sp>
    <dsp:sp modelId="{B71FF80F-6F74-4C47-8164-EFDF54D5BF6F}">
      <dsp:nvSpPr>
        <dsp:cNvPr id="0" name=""/>
        <dsp:cNvSpPr/>
      </dsp:nvSpPr>
      <dsp:spPr>
        <a:xfrm rot="5400000">
          <a:off x="2657495" y="468906"/>
          <a:ext cx="171408" cy="205689"/>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fr-FR" sz="800" kern="1200"/>
        </a:p>
      </dsp:txBody>
      <dsp:txXfrm rot="-5400000">
        <a:off x="2681493" y="486046"/>
        <a:ext cx="123413" cy="119986"/>
      </dsp:txXfrm>
    </dsp:sp>
    <dsp:sp modelId="{8756C48A-DEBB-42E9-9C9B-F4DB5E3D72AB}">
      <dsp:nvSpPr>
        <dsp:cNvPr id="0" name=""/>
        <dsp:cNvSpPr/>
      </dsp:nvSpPr>
      <dsp:spPr>
        <a:xfrm>
          <a:off x="1846699" y="686023"/>
          <a:ext cx="1793000" cy="457088"/>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t>Réception des commandes : bon de livraison</a:t>
          </a:r>
        </a:p>
      </dsp:txBody>
      <dsp:txXfrm>
        <a:off x="1860087" y="699411"/>
        <a:ext cx="1766224" cy="430312"/>
      </dsp:txXfrm>
    </dsp:sp>
    <dsp:sp modelId="{3F0585BE-33B6-499D-ABD9-75054A8070AA}">
      <dsp:nvSpPr>
        <dsp:cNvPr id="0" name=""/>
        <dsp:cNvSpPr/>
      </dsp:nvSpPr>
      <dsp:spPr>
        <a:xfrm rot="5400000">
          <a:off x="2657495" y="1154538"/>
          <a:ext cx="171408" cy="205689"/>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fr-FR" sz="800" kern="1200"/>
        </a:p>
      </dsp:txBody>
      <dsp:txXfrm rot="-5400000">
        <a:off x="2681493" y="1171678"/>
        <a:ext cx="123413" cy="119986"/>
      </dsp:txXfrm>
    </dsp:sp>
    <dsp:sp modelId="{9DA08586-613D-4923-90BC-E6BA6AFACE61}">
      <dsp:nvSpPr>
        <dsp:cNvPr id="0" name=""/>
        <dsp:cNvSpPr/>
      </dsp:nvSpPr>
      <dsp:spPr>
        <a:xfrm>
          <a:off x="1846699" y="1371655"/>
          <a:ext cx="1793000" cy="457088"/>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t>Réception des factures</a:t>
          </a:r>
        </a:p>
      </dsp:txBody>
      <dsp:txXfrm>
        <a:off x="1860087" y="1385043"/>
        <a:ext cx="1766224" cy="430312"/>
      </dsp:txXfrm>
    </dsp:sp>
    <dsp:sp modelId="{7C7E0D6A-E091-4D7A-9EBC-501B9175987D}">
      <dsp:nvSpPr>
        <dsp:cNvPr id="0" name=""/>
        <dsp:cNvSpPr/>
      </dsp:nvSpPr>
      <dsp:spPr>
        <a:xfrm rot="5400000">
          <a:off x="2657495" y="1840171"/>
          <a:ext cx="171408" cy="205689"/>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fr-FR" sz="800" kern="1200"/>
        </a:p>
      </dsp:txBody>
      <dsp:txXfrm rot="-5400000">
        <a:off x="2681493" y="1857311"/>
        <a:ext cx="123413" cy="119986"/>
      </dsp:txXfrm>
    </dsp:sp>
    <dsp:sp modelId="{CAF0FF9F-0414-4FFC-9041-6492A16F94FD}">
      <dsp:nvSpPr>
        <dsp:cNvPr id="0" name=""/>
        <dsp:cNvSpPr/>
      </dsp:nvSpPr>
      <dsp:spPr>
        <a:xfrm>
          <a:off x="1846699" y="2057288"/>
          <a:ext cx="1793000" cy="457088"/>
        </a:xfrm>
        <a:prstGeom prst="roundRect">
          <a:avLst>
            <a:gd name="adj" fmla="val 10000"/>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t>Comptabilisation</a:t>
          </a:r>
        </a:p>
      </dsp:txBody>
      <dsp:txXfrm>
        <a:off x="1860087" y="2070676"/>
        <a:ext cx="1766224" cy="430312"/>
      </dsp:txXfrm>
    </dsp:sp>
    <dsp:sp modelId="{467555E7-6D30-4898-8A4A-B914C299E28F}">
      <dsp:nvSpPr>
        <dsp:cNvPr id="0" name=""/>
        <dsp:cNvSpPr/>
      </dsp:nvSpPr>
      <dsp:spPr>
        <a:xfrm rot="5400000">
          <a:off x="2657495" y="2525803"/>
          <a:ext cx="171408" cy="205689"/>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fr-FR" sz="800" kern="1200"/>
        </a:p>
      </dsp:txBody>
      <dsp:txXfrm rot="-5400000">
        <a:off x="2681493" y="2542943"/>
        <a:ext cx="123413" cy="119986"/>
      </dsp:txXfrm>
    </dsp:sp>
    <dsp:sp modelId="{509D62B7-2EA3-4FA0-9C01-70B5F57BD9FF}">
      <dsp:nvSpPr>
        <dsp:cNvPr id="0" name=""/>
        <dsp:cNvSpPr/>
      </dsp:nvSpPr>
      <dsp:spPr>
        <a:xfrm>
          <a:off x="1846699" y="2742920"/>
          <a:ext cx="1793000" cy="457088"/>
        </a:xfrm>
        <a:prstGeom prst="roundRect">
          <a:avLst>
            <a:gd name="adj" fmla="val 10000"/>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fr-FR" sz="1200" kern="1200"/>
            <a:t>Règlements</a:t>
          </a:r>
        </a:p>
      </dsp:txBody>
      <dsp:txXfrm>
        <a:off x="1860087" y="2756308"/>
        <a:ext cx="1766224" cy="43031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D4DB2B-3D14-4ACE-AC2F-5568F47D15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3</TotalTime>
  <Pages>2</Pages>
  <Words>532</Words>
  <Characters>2928</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3454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4</cp:revision>
  <cp:lastPrinted>2011-10-07T12:04:00Z</cp:lastPrinted>
  <dcterms:created xsi:type="dcterms:W3CDTF">2018-04-11T10:13:00Z</dcterms:created>
  <dcterms:modified xsi:type="dcterms:W3CDTF">2018-04-11T10:15:00Z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