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C7C" w:rsidRPr="00CA7E8C" w:rsidRDefault="000D4C7C" w:rsidP="00D15732">
      <w:pPr>
        <w:pStyle w:val="00Chaptitre"/>
      </w:pPr>
      <w:r w:rsidRPr="00CA7E8C">
        <w:t>Synthèse</w:t>
      </w:r>
    </w:p>
    <w:p w:rsidR="000D4C7C" w:rsidRPr="00CA7E8C" w:rsidRDefault="000D4C7C" w:rsidP="00D15732">
      <w:pPr>
        <w:pStyle w:val="04Exercicestitre"/>
      </w:pPr>
      <w:r w:rsidRPr="00CA7E8C">
        <w:t>Chapitre 16</w:t>
      </w:r>
      <w:r w:rsidRPr="00CA7E8C">
        <w:tab/>
      </w:r>
      <w:bookmarkStart w:id="0" w:name="_GoBack"/>
      <w:r w:rsidRPr="00CA7E8C">
        <w:t>Suivi des encaissements, des décaissements et des relations avec les banques</w:t>
      </w:r>
      <w:bookmarkEnd w:id="0"/>
    </w:p>
    <w:p w:rsidR="000D4C7C" w:rsidRPr="00CA7E8C" w:rsidRDefault="000D4C7C" w:rsidP="00D15732">
      <w:pPr>
        <w:pStyle w:val="05ExerciceTitre"/>
      </w:pPr>
      <w:r w:rsidRPr="00CA7E8C">
        <w:t>I</w:t>
      </w:r>
      <w:r w:rsidRPr="00CA7E8C">
        <w:tab/>
      </w:r>
      <w:r w:rsidR="00D15732">
        <w:t>Les p</w:t>
      </w:r>
      <w:r w:rsidRPr="00CA7E8C">
        <w:t>rincipes</w:t>
      </w:r>
    </w:p>
    <w:p w:rsidR="000D4C7C" w:rsidRPr="00CA7E8C" w:rsidRDefault="000D4C7C" w:rsidP="00D15732">
      <w:pPr>
        <w:pStyle w:val="TTextecourant"/>
      </w:pPr>
      <w:r w:rsidRPr="00CA7E8C">
        <w:t>Pour s’assurer de sa capacité à honorer ses dettes, l’entreprise doit gérer sa trésorerie avec beaucoup de rigueur. Le budget de trésorerie est un outil indispensable pour anticiper l’évolution du solde de la trés</w:t>
      </w:r>
      <w:r w:rsidRPr="00CA7E8C">
        <w:t>o</w:t>
      </w:r>
      <w:r w:rsidRPr="00CA7E8C">
        <w:t>rerie. Cependant, le solde doit être connu de manière permanente pour garantir les liquidités de l’entreprise et éviter une cessation de pai</w:t>
      </w:r>
      <w:r w:rsidRPr="00CA7E8C">
        <w:t>e</w:t>
      </w:r>
      <w:r w:rsidRPr="00CA7E8C">
        <w:t>ments.</w:t>
      </w:r>
    </w:p>
    <w:p w:rsidR="000D4C7C" w:rsidRPr="00CA7E8C" w:rsidRDefault="000D4C7C" w:rsidP="00D15732">
      <w:pPr>
        <w:pStyle w:val="TTextecourant"/>
      </w:pPr>
      <w:r w:rsidRPr="00CA7E8C">
        <w:t>Les relations commerciales que l’entreprise entretient avec ses fournisseurs et ses clients lui permettent de définir les moyens de paiement des achats et des ventes qu’elle réalise en fonction de leur impact sur la trésorerie et de la situ</w:t>
      </w:r>
      <w:r w:rsidRPr="00CA7E8C">
        <w:t>a</w:t>
      </w:r>
      <w:r w:rsidRPr="00CA7E8C">
        <w:t>tion financière de l’entreprise.</w:t>
      </w:r>
    </w:p>
    <w:p w:rsidR="000D4C7C" w:rsidRPr="00CA7E8C" w:rsidRDefault="000D4C7C" w:rsidP="00D15732">
      <w:pPr>
        <w:pStyle w:val="TTextecourant"/>
      </w:pPr>
      <w:r w:rsidRPr="00CA7E8C">
        <w:t>La trésorerie de l’entreprise est constituée de toutes les disponibilités qui sont les siennes pour financer ses dépenses à court terme : des espèces (compte caisse de l’actif du bilan), des soldes positifs des comptes courants bancaires (compte banque de l’actif bilan), etc.</w:t>
      </w:r>
    </w:p>
    <w:p w:rsidR="000D4C7C" w:rsidRPr="00CA7E8C" w:rsidRDefault="000D4C7C" w:rsidP="00D15732">
      <w:pPr>
        <w:pStyle w:val="TTextecourant"/>
      </w:pPr>
      <w:r w:rsidRPr="00CA7E8C">
        <w:t>Ces moyens de paiement ont un impact différent sur la trésorerie de l’entreprise, au niveau :</w:t>
      </w:r>
    </w:p>
    <w:p w:rsidR="000D4C7C" w:rsidRPr="00CA7E8C" w:rsidRDefault="000D4C7C" w:rsidP="00D15732">
      <w:pPr>
        <w:pStyle w:val="TEnumpuce"/>
      </w:pPr>
      <w:r w:rsidRPr="00CA7E8C">
        <w:t>du risque d’impayé :</w:t>
      </w:r>
    </w:p>
    <w:p w:rsidR="000D4C7C" w:rsidRPr="00CA7E8C" w:rsidRDefault="000D4C7C" w:rsidP="00D15732">
      <w:pPr>
        <w:pStyle w:val="TEnumtiret"/>
      </w:pPr>
      <w:proofErr w:type="gramStart"/>
      <w:r w:rsidRPr="00CA7E8C">
        <w:t>un</w:t>
      </w:r>
      <w:proofErr w:type="gramEnd"/>
      <w:r w:rsidRPr="00CA7E8C">
        <w:t xml:space="preserve"> chèque risque d’être sans provision ou volé. Les commerçants demandent parfois deux justificatifs et peuvent contracter une assurance. Un chèque de banque est une garantie pour les transactions plus impo</w:t>
      </w:r>
      <w:r w:rsidRPr="00CA7E8C">
        <w:t>r</w:t>
      </w:r>
      <w:r w:rsidRPr="00CA7E8C">
        <w:t>tantes ;</w:t>
      </w:r>
    </w:p>
    <w:p w:rsidR="000D4C7C" w:rsidRPr="00CA7E8C" w:rsidRDefault="000D4C7C" w:rsidP="00D15732">
      <w:pPr>
        <w:pStyle w:val="TEnumtiret"/>
      </w:pPr>
      <w:r w:rsidRPr="00CA7E8C">
        <w:t>un effet de commerce est inopposable. Il offre un partage de la garantie et n’est pas lié à un compte ba</w:t>
      </w:r>
      <w:r w:rsidRPr="00CA7E8C">
        <w:t>n</w:t>
      </w:r>
      <w:r w:rsidRPr="00CA7E8C">
        <w:t>caire ;</w:t>
      </w:r>
    </w:p>
    <w:p w:rsidR="000D4C7C" w:rsidRPr="00CA7E8C" w:rsidRDefault="000D4C7C" w:rsidP="00D15732">
      <w:pPr>
        <w:pStyle w:val="TEnumtiret"/>
      </w:pPr>
      <w:r w:rsidRPr="00CA7E8C">
        <w:t>un virement permanent permet un paiement en temps voulu sans retard ni perte. Il s’effectue sur Internet ;</w:t>
      </w:r>
    </w:p>
    <w:p w:rsidR="000D4C7C" w:rsidRPr="00CA7E8C" w:rsidRDefault="000D4C7C" w:rsidP="00D15732">
      <w:pPr>
        <w:pStyle w:val="TEnumtiret"/>
      </w:pPr>
      <w:r w:rsidRPr="00CA7E8C">
        <w:t>un prélèvement évite les impayés pour les petits montants récurrents ;</w:t>
      </w:r>
    </w:p>
    <w:p w:rsidR="000D4C7C" w:rsidRPr="00CA7E8C" w:rsidRDefault="000D4C7C" w:rsidP="00D15732">
      <w:pPr>
        <w:pStyle w:val="TEnumtiret"/>
      </w:pPr>
      <w:r w:rsidRPr="00CA7E8C">
        <w:t>une carte bancaire garantit les paiements sans limitation de montant (même sans provision). Cependant, de no</w:t>
      </w:r>
      <w:r w:rsidRPr="00CA7E8C">
        <w:t>m</w:t>
      </w:r>
      <w:r w:rsidRPr="00CA7E8C">
        <w:t>breuses fraudes existent, surtout en ligne. Les Smartphones permettent également d’effectuer des règlements imm</w:t>
      </w:r>
      <w:r w:rsidRPr="00CA7E8C">
        <w:t>é</w:t>
      </w:r>
      <w:r w:rsidRPr="00CA7E8C">
        <w:t>diats avec le même type de risque ;</w:t>
      </w:r>
    </w:p>
    <w:p w:rsidR="000D4C7C" w:rsidRPr="00CA7E8C" w:rsidRDefault="000D4C7C" w:rsidP="00D15732">
      <w:pPr>
        <w:pStyle w:val="TEnumpuce"/>
      </w:pPr>
      <w:r w:rsidRPr="00CA7E8C">
        <w:t>de la gestion administrative :</w:t>
      </w:r>
    </w:p>
    <w:p w:rsidR="000D4C7C" w:rsidRPr="00CA7E8C" w:rsidRDefault="000D4C7C" w:rsidP="00D15732">
      <w:pPr>
        <w:pStyle w:val="TEnumtiret"/>
      </w:pPr>
      <w:r w:rsidRPr="00CA7E8C">
        <w:t>le traitement administratif est important pour les chèques, moindre pour les effets de commerce ;</w:t>
      </w:r>
    </w:p>
    <w:p w:rsidR="000D4C7C" w:rsidRPr="00CA7E8C" w:rsidRDefault="000D4C7C" w:rsidP="00D15732">
      <w:pPr>
        <w:pStyle w:val="TEnumtiret"/>
      </w:pPr>
      <w:r w:rsidRPr="00CA7E8C">
        <w:t>les virements sont très utilisés pour les transactions interentreprises car ils sont rapides et souples. La seule co</w:t>
      </w:r>
      <w:r w:rsidRPr="00CA7E8C">
        <w:t>n</w:t>
      </w:r>
      <w:r w:rsidRPr="00CA7E8C">
        <w:t>trainte technique est de connaître les références bancaires du destinataire. Ce moyen de paiement est peu utilisé entre particuliers et entreprises ;</w:t>
      </w:r>
    </w:p>
    <w:p w:rsidR="000D4C7C" w:rsidRPr="00CA7E8C" w:rsidRDefault="000D4C7C" w:rsidP="00D15732">
      <w:pPr>
        <w:pStyle w:val="TEnumtiret"/>
      </w:pPr>
      <w:r w:rsidRPr="00CA7E8C">
        <w:t>un prélèvement est également simple et télématique ;</w:t>
      </w:r>
    </w:p>
    <w:p w:rsidR="000D4C7C" w:rsidRPr="00CA7E8C" w:rsidRDefault="000D4C7C" w:rsidP="00D15732">
      <w:pPr>
        <w:pStyle w:val="TEnumtiret"/>
      </w:pPr>
      <w:r w:rsidRPr="00CA7E8C">
        <w:t>une carte bancaire nécessite un suivi mais celui-ci est beaucoup moins contraignant que la remise de chèques ;</w:t>
      </w:r>
    </w:p>
    <w:p w:rsidR="000D4C7C" w:rsidRPr="00CA7E8C" w:rsidRDefault="000D4C7C" w:rsidP="00D15732">
      <w:pPr>
        <w:pStyle w:val="TEnumtiret"/>
      </w:pPr>
      <w:r w:rsidRPr="00CA7E8C">
        <w:t>les paiements en espèces imposent un suivi quotidien mais simple. Les montants peuvent être importants selon l’activité de l’entreprise ;</w:t>
      </w:r>
    </w:p>
    <w:p w:rsidR="000D4C7C" w:rsidRPr="00CA7E8C" w:rsidRDefault="000D4C7C" w:rsidP="00D15732">
      <w:pPr>
        <w:pStyle w:val="TEnumpuce"/>
      </w:pPr>
      <w:r w:rsidRPr="00CA7E8C">
        <w:t>du délai d’encaissement :</w:t>
      </w:r>
    </w:p>
    <w:p w:rsidR="000D4C7C" w:rsidRPr="00CA7E8C" w:rsidRDefault="000D4C7C" w:rsidP="00D15732">
      <w:pPr>
        <w:pStyle w:val="TEnumtiret"/>
      </w:pPr>
      <w:proofErr w:type="gramStart"/>
      <w:r w:rsidRPr="00CA7E8C">
        <w:t>un</w:t>
      </w:r>
      <w:proofErr w:type="gramEnd"/>
      <w:r w:rsidRPr="00CA7E8C">
        <w:t xml:space="preserve"> chèque envoyé par voie postale ne permet pas de maîtriser totalement le délai de réception. Il ne peut être e</w:t>
      </w:r>
      <w:r w:rsidRPr="00CA7E8C">
        <w:t>n</w:t>
      </w:r>
      <w:r w:rsidRPr="00CA7E8C">
        <w:t>caissé que par le bénéficiaire ;</w:t>
      </w:r>
    </w:p>
    <w:p w:rsidR="000D4C7C" w:rsidRPr="00CA7E8C" w:rsidRDefault="000D4C7C" w:rsidP="00D15732">
      <w:pPr>
        <w:pStyle w:val="TEnumtiret"/>
      </w:pPr>
      <w:r w:rsidRPr="00CA7E8C">
        <w:t>la date d’un virement n’est pas vraiment maîtrisée puisqu’elle est à l’initiative du débiteur ;</w:t>
      </w:r>
    </w:p>
    <w:p w:rsidR="000D4C7C" w:rsidRPr="00CA7E8C" w:rsidRDefault="000D4C7C" w:rsidP="00D15732">
      <w:pPr>
        <w:pStyle w:val="TEnumtiret"/>
      </w:pPr>
      <w:r w:rsidRPr="00CA7E8C">
        <w:t>un prélèvement offre au contraire le choix et le contrôle de la date du prélèvement ;</w:t>
      </w:r>
    </w:p>
    <w:p w:rsidR="000D4C7C" w:rsidRPr="00CA7E8C" w:rsidRDefault="000D4C7C" w:rsidP="00D15732">
      <w:pPr>
        <w:pStyle w:val="TEnumtiret"/>
      </w:pPr>
      <w:r w:rsidRPr="00CA7E8C">
        <w:t>une carte bancaire permet un encaissement quasi immédiat et une grande fluidité en caisse pour les pai</w:t>
      </w:r>
      <w:r w:rsidRPr="00CA7E8C">
        <w:t>e</w:t>
      </w:r>
      <w:r w:rsidRPr="00CA7E8C">
        <w:t>ments sans contact ;</w:t>
      </w:r>
    </w:p>
    <w:p w:rsidR="000D4C7C" w:rsidRPr="00CA7E8C" w:rsidRDefault="000D4C7C" w:rsidP="00D15732">
      <w:pPr>
        <w:pStyle w:val="TEnumtiret"/>
      </w:pPr>
      <w:r w:rsidRPr="00CA7E8C">
        <w:t>un paiement en espèces est immédiatement encaissé selon la législation en vigueur ;</w:t>
      </w:r>
    </w:p>
    <w:p w:rsidR="000D4C7C" w:rsidRPr="00CA7E8C" w:rsidRDefault="000D4C7C" w:rsidP="00D15732">
      <w:pPr>
        <w:pStyle w:val="TEnumpuce"/>
      </w:pPr>
      <w:r w:rsidRPr="00CA7E8C">
        <w:t>du coût :</w:t>
      </w:r>
    </w:p>
    <w:p w:rsidR="000D4C7C" w:rsidRPr="00CA7E8C" w:rsidRDefault="000D4C7C" w:rsidP="00D15732">
      <w:pPr>
        <w:pStyle w:val="TEnumtiret"/>
      </w:pPr>
      <w:r w:rsidRPr="00CA7E8C">
        <w:t>le coût d’un chèque est constitué du coût de gestion interne de traitement ajouté aux frais bancaires (tra</w:t>
      </w:r>
      <w:r w:rsidRPr="00CA7E8C">
        <w:t>i</w:t>
      </w:r>
      <w:r w:rsidRPr="00CA7E8C">
        <w:t>tement, assurance impayés) ;</w:t>
      </w:r>
    </w:p>
    <w:p w:rsidR="000D4C7C" w:rsidRPr="00CA7E8C" w:rsidRDefault="000D4C7C" w:rsidP="00D15732">
      <w:pPr>
        <w:pStyle w:val="TEnumtiret"/>
      </w:pPr>
      <w:r w:rsidRPr="00CA7E8C">
        <w:t>les agios (intérêts et commissions) relatifs aux effets de commerce sont assez importants ;</w:t>
      </w:r>
    </w:p>
    <w:p w:rsidR="000D4C7C" w:rsidRPr="00CA7E8C" w:rsidRDefault="000D4C7C" w:rsidP="00D15732">
      <w:pPr>
        <w:pStyle w:val="TEnumtiret"/>
      </w:pPr>
      <w:r w:rsidRPr="00CA7E8C">
        <w:t>la réception d’un virement est gratuite mais un coût est parfois supporté par le débiteur, comme pour un prélèv</w:t>
      </w:r>
      <w:r w:rsidRPr="00CA7E8C">
        <w:t>e</w:t>
      </w:r>
      <w:r w:rsidRPr="00CA7E8C">
        <w:t>ment ;</w:t>
      </w:r>
    </w:p>
    <w:p w:rsidR="000D4C7C" w:rsidRPr="00CA7E8C" w:rsidRDefault="000D4C7C" w:rsidP="00D15732">
      <w:pPr>
        <w:pStyle w:val="TEnumtiret"/>
      </w:pPr>
      <w:r w:rsidRPr="00CA7E8C">
        <w:t>pour les cartes bancaires, les commerçants sont chargés de la location du terminal, des frais fixes de tra</w:t>
      </w:r>
      <w:r w:rsidRPr="00CA7E8C">
        <w:t>n</w:t>
      </w:r>
      <w:r w:rsidRPr="00CA7E8C">
        <w:t>saction et des commissions bancaires. Les clients payent leur carte et une assurance en fonction de la n</w:t>
      </w:r>
      <w:r w:rsidRPr="00CA7E8C">
        <w:t>a</w:t>
      </w:r>
      <w:r w:rsidRPr="00CA7E8C">
        <w:t>ture et de l’utilisation de leur carte.</w:t>
      </w:r>
    </w:p>
    <w:p w:rsidR="000D4C7C" w:rsidRPr="00CA7E8C" w:rsidRDefault="000D4C7C" w:rsidP="00D15732">
      <w:pPr>
        <w:pStyle w:val="05ExerciceTitre"/>
      </w:pPr>
      <w:r w:rsidRPr="00CA7E8C">
        <w:t>II</w:t>
      </w:r>
      <w:r w:rsidRPr="00CA7E8C">
        <w:tab/>
        <w:t>L’ajustement de la trésorerie</w:t>
      </w:r>
    </w:p>
    <w:p w:rsidR="000D4C7C" w:rsidRPr="00CA7E8C" w:rsidRDefault="000D4C7C" w:rsidP="00D15732">
      <w:pPr>
        <w:pStyle w:val="TTextecourant"/>
      </w:pPr>
      <w:r w:rsidRPr="00CA7E8C">
        <w:t xml:space="preserve">Le compte courant bancaire n’étant pas rémunérateur, un excédent de liquidités par rapport aux dettes financières à </w:t>
      </w:r>
      <w:r w:rsidRPr="00CA7E8C">
        <w:lastRenderedPageBreak/>
        <w:t>court terme est judicieusement utilisé ou placé pour optimiser la gestion financière de l’entreprise.</w:t>
      </w:r>
    </w:p>
    <w:p w:rsidR="000D4C7C" w:rsidRPr="00CA7E8C" w:rsidRDefault="000D4C7C" w:rsidP="00D15732">
      <w:pPr>
        <w:pStyle w:val="TTextecourant"/>
      </w:pPr>
      <w:r w:rsidRPr="00CA7E8C">
        <w:t>Un déficit de trésorerie est inscrit au passif du bilan. Il s’agit de la trésorerie passive. Lorsqu’une entr</w:t>
      </w:r>
      <w:r w:rsidRPr="00CA7E8C">
        <w:t>e</w:t>
      </w:r>
      <w:r w:rsidRPr="00CA7E8C">
        <w:t>prise est dans cette situation, elle doit trouver des financements à court terme afin de disposer de liquid</w:t>
      </w:r>
      <w:r w:rsidRPr="00CA7E8C">
        <w:t>i</w:t>
      </w:r>
      <w:r w:rsidRPr="00CA7E8C">
        <w:t>tés suffisantes pour régler ses salariés, les organismes sociaux, ses fournisseurs et l’État. Ces ajustements évitent des pénalités financières ou une liquidation dans un contexte plus difficile.</w:t>
      </w:r>
    </w:p>
    <w:p w:rsidR="000D4C7C" w:rsidRPr="00CA7E8C" w:rsidRDefault="000D4C7C" w:rsidP="00D15732">
      <w:pPr>
        <w:pStyle w:val="TTextecourant"/>
      </w:pPr>
      <w:r w:rsidRPr="00CA7E8C">
        <w:t>Il s’agit de limiter le besoin de financement à court terme : pour optimiser sa trésorerie, une entreprise peut, selon les contraintes commerciales qu’elle doit prendre en compte, limiter le délai de paiement a</w:t>
      </w:r>
      <w:r w:rsidRPr="00CA7E8C">
        <w:t>c</w:t>
      </w:r>
      <w:r w:rsidRPr="00CA7E8C">
        <w:t>cordé à ses clients et négocier des délais plus longs pour régler ses fournisseurs.</w:t>
      </w:r>
    </w:p>
    <w:p w:rsidR="000D4C7C" w:rsidRPr="00CA7E8C" w:rsidRDefault="000D4C7C" w:rsidP="00D15732">
      <w:pPr>
        <w:pStyle w:val="TTextecourant"/>
      </w:pPr>
      <w:r w:rsidRPr="00CA7E8C">
        <w:t>L’entreprise peut également avoir recours à des banques ou des établissements de crédit pour financer les décalages entre les règlements des clients et les paiements aux fournisseurs. Pour choisir entre différents moyens de financement à court terme, plusieurs critères sont à prendre en compte.</w:t>
      </w:r>
    </w:p>
    <w:p w:rsidR="000D4C7C" w:rsidRPr="00CA7E8C" w:rsidRDefault="000D4C7C" w:rsidP="00D15732">
      <w:pPr>
        <w:pStyle w:val="TTextecourant"/>
      </w:pPr>
      <w:r w:rsidRPr="00CA7E8C">
        <w:t>1</w:t>
      </w:r>
      <w:r w:rsidRPr="00CA7E8C">
        <w:tab/>
        <w:t>Le coût constitué des intérêts payés en contrepartie d’une avance de fonds.</w:t>
      </w:r>
    </w:p>
    <w:p w:rsidR="000D4C7C" w:rsidRPr="00CA7E8C" w:rsidRDefault="000D4C7C" w:rsidP="00D15732">
      <w:pPr>
        <w:pStyle w:val="TTextecourant"/>
      </w:pPr>
      <w:r w:rsidRPr="00CA7E8C">
        <w:t>Le montant des intérêts se calcule en fonction du taux octroyé par chaque banque (taux de base bancaire) et de la durée du prêt (jours décomptés par la banque), des commissions bancaires (traitement des dossiers), de la TVA sur les co</w:t>
      </w:r>
      <w:r w:rsidRPr="00CA7E8C">
        <w:t>m</w:t>
      </w:r>
      <w:r w:rsidRPr="00CA7E8C">
        <w:t>missions bancaires uniquement, de l’ensemble des intérêts et des commi</w:t>
      </w:r>
      <w:r w:rsidRPr="00CA7E8C">
        <w:t>s</w:t>
      </w:r>
      <w:r w:rsidRPr="00CA7E8C">
        <w:t>sions TTC qui constituent les agios.</w:t>
      </w:r>
    </w:p>
    <w:p w:rsidR="000D4C7C" w:rsidRPr="00CA7E8C" w:rsidRDefault="000D4C7C" w:rsidP="00D15732">
      <w:pPr>
        <w:pStyle w:val="TTextecourant"/>
      </w:pPr>
      <w:r w:rsidRPr="00CA7E8C">
        <w:t>2</w:t>
      </w:r>
      <w:r w:rsidRPr="00CA7E8C">
        <w:tab/>
        <w:t>La lourdeur de la procédure : le consacré au suivi des dossiers.</w:t>
      </w:r>
    </w:p>
    <w:p w:rsidR="000D4C7C" w:rsidRPr="00CA7E8C" w:rsidRDefault="000D4C7C" w:rsidP="00D15732">
      <w:pPr>
        <w:pStyle w:val="TTextecourant"/>
      </w:pPr>
      <w:r w:rsidRPr="00D15732">
        <w:rPr>
          <w:b/>
        </w:rPr>
        <w:t>Un excédent de trésorerie</w:t>
      </w:r>
      <w:r w:rsidRPr="00CA7E8C">
        <w:t xml:space="preserve"> permet d’envisager un placement. L’arbitrage permet de choisir le placement qui offre la meilleure rentabilité en tenant compte :</w:t>
      </w:r>
    </w:p>
    <w:p w:rsidR="000D4C7C" w:rsidRPr="00CA7E8C" w:rsidRDefault="000D4C7C" w:rsidP="00D15732">
      <w:pPr>
        <w:pStyle w:val="TEnumpuce"/>
      </w:pPr>
      <w:r w:rsidRPr="00CA7E8C">
        <w:t>de la rémunération selon le taux d’intérêt de placement net des commissions bancaires (soumises à la TVA) en fon</w:t>
      </w:r>
      <w:r w:rsidRPr="00CA7E8C">
        <w:t>c</w:t>
      </w:r>
      <w:r w:rsidRPr="00CA7E8C">
        <w:t>tion de la durée du placement ;</w:t>
      </w:r>
    </w:p>
    <w:p w:rsidR="000D4C7C" w:rsidRPr="00CA7E8C" w:rsidRDefault="000D4C7C" w:rsidP="00D15732">
      <w:pPr>
        <w:pStyle w:val="TEnumpuce"/>
      </w:pPr>
      <w:r w:rsidRPr="00CA7E8C">
        <w:t>de la durée d’immobilisation du capital ;</w:t>
      </w:r>
    </w:p>
    <w:p w:rsidR="000D4C7C" w:rsidRPr="00CA7E8C" w:rsidRDefault="000D4C7C" w:rsidP="00D15732">
      <w:pPr>
        <w:pStyle w:val="TEnumpuce"/>
      </w:pPr>
      <w:r w:rsidRPr="00CA7E8C">
        <w:t>du risque encouru : il s’agit de récupérer un capital au moins égal au montant placé ;</w:t>
      </w:r>
    </w:p>
    <w:p w:rsidR="00806FB8" w:rsidRPr="000D4C7C" w:rsidRDefault="000D4C7C" w:rsidP="00D15732">
      <w:pPr>
        <w:pStyle w:val="TEnumpuce"/>
      </w:pPr>
      <w:r w:rsidRPr="00CA7E8C">
        <w:t>d’autres possibilités d’utilisation des fonds qui permettraient, à défaut de placement, de réaliser des éc</w:t>
      </w:r>
      <w:r w:rsidRPr="00CA7E8C">
        <w:t>o</w:t>
      </w:r>
      <w:r w:rsidRPr="00CA7E8C">
        <w:t>nomies en anticipant des règlements, par exemple.</w:t>
      </w:r>
    </w:p>
    <w:sectPr w:rsidR="00806FB8" w:rsidRPr="000D4C7C"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79DB" w:rsidRDefault="00D079DB" w:rsidP="004016EA">
      <w:r>
        <w:separator/>
      </w:r>
    </w:p>
  </w:endnote>
  <w:endnote w:type="continuationSeparator" w:id="0">
    <w:p w:rsidR="00D079DB" w:rsidRDefault="00D079DB"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4B777E">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4B777E">
      <w:rPr>
        <w:rStyle w:val="Folio"/>
        <w:b/>
        <w:bCs/>
        <w:noProof/>
      </w:rPr>
      <w:t>2</w:t>
    </w:r>
    <w:r>
      <w:rPr>
        <w:rStyle w:val="Folio"/>
        <w:b/>
        <w:bCs/>
      </w:rPr>
      <w:fldChar w:fldCharType="end"/>
    </w:r>
    <w:r w:rsidR="004016EA">
      <w:rPr>
        <w:rStyle w:val="Folio"/>
        <w:b/>
        <w:bCs/>
      </w:rPr>
      <w:t xml:space="preserve">  </w:t>
    </w:r>
    <w:r w:rsidR="004016EA">
      <w:rPr>
        <w:w w:val="100"/>
      </w:rPr>
      <w:tab/>
    </w:r>
    <w:r w:rsidR="004B777E">
      <w:rPr>
        <w:w w:val="100"/>
      </w:rPr>
      <w:t xml:space="preserve">Situation professionnelle </w:t>
    </w:r>
    <w:proofErr w:type="spellStart"/>
    <w:r w:rsidR="004B777E">
      <w:rPr>
        <w:w w:val="100"/>
      </w:rPr>
      <w:t>Galetezenn</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C5158F">
      <w:rPr>
        <w:rStyle w:val="Bold"/>
      </w:rPr>
      <w:t>16</w:t>
    </w:r>
    <w:r>
      <w:rPr>
        <w:rStyle w:val="Bold"/>
      </w:rPr>
      <w:t xml:space="preserve"> </w:t>
    </w:r>
    <w:r w:rsidR="00C5158F">
      <w:t>–</w:t>
    </w:r>
    <w:r>
      <w:t xml:space="preserve"> </w:t>
    </w:r>
    <w:r w:rsidR="00C5158F" w:rsidRPr="00CA7E8C">
      <w:t>Suivi des encaissements, des décaissements et des relations avec les banques</w:t>
    </w:r>
    <w:r>
      <w:tab/>
    </w:r>
    <w:r w:rsidR="006C0120">
      <w:rPr>
        <w:rStyle w:val="Folio"/>
      </w:rPr>
      <w:fldChar w:fldCharType="begin"/>
    </w:r>
    <w:r>
      <w:rPr>
        <w:rStyle w:val="Folio"/>
      </w:rPr>
      <w:instrText xml:space="preserve"> PAGE </w:instrText>
    </w:r>
    <w:r w:rsidR="006C0120">
      <w:rPr>
        <w:rStyle w:val="Folio"/>
      </w:rPr>
      <w:fldChar w:fldCharType="separate"/>
    </w:r>
    <w:r w:rsidR="004B777E">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79DB" w:rsidRDefault="00D079DB" w:rsidP="004016EA">
      <w:r>
        <w:separator/>
      </w:r>
    </w:p>
  </w:footnote>
  <w:footnote w:type="continuationSeparator" w:id="0">
    <w:p w:rsidR="00D079DB" w:rsidRDefault="00D079DB"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0D4C7C"/>
    <w:rsid w:val="00151A6E"/>
    <w:rsid w:val="001A0B80"/>
    <w:rsid w:val="0024646B"/>
    <w:rsid w:val="00257766"/>
    <w:rsid w:val="0030498C"/>
    <w:rsid w:val="00324F73"/>
    <w:rsid w:val="00394FED"/>
    <w:rsid w:val="003A6641"/>
    <w:rsid w:val="004016EA"/>
    <w:rsid w:val="004A1FB0"/>
    <w:rsid w:val="004B777E"/>
    <w:rsid w:val="004E20A9"/>
    <w:rsid w:val="004E2AD9"/>
    <w:rsid w:val="00575D02"/>
    <w:rsid w:val="006B172B"/>
    <w:rsid w:val="006B7D00"/>
    <w:rsid w:val="006C0120"/>
    <w:rsid w:val="00722537"/>
    <w:rsid w:val="00757BA2"/>
    <w:rsid w:val="007763D4"/>
    <w:rsid w:val="0079080C"/>
    <w:rsid w:val="00806FB8"/>
    <w:rsid w:val="00810809"/>
    <w:rsid w:val="008554DD"/>
    <w:rsid w:val="009215F2"/>
    <w:rsid w:val="009C3943"/>
    <w:rsid w:val="009C7BAC"/>
    <w:rsid w:val="00AD6532"/>
    <w:rsid w:val="00B81F3B"/>
    <w:rsid w:val="00BD34C9"/>
    <w:rsid w:val="00BF47D4"/>
    <w:rsid w:val="00C02E8D"/>
    <w:rsid w:val="00C20988"/>
    <w:rsid w:val="00C37BCE"/>
    <w:rsid w:val="00C5158F"/>
    <w:rsid w:val="00CF04A9"/>
    <w:rsid w:val="00CF17D4"/>
    <w:rsid w:val="00D079DB"/>
    <w:rsid w:val="00D1160A"/>
    <w:rsid w:val="00D15732"/>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70438-99D5-4711-94CB-A43284353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3</TotalTime>
  <Pages>2</Pages>
  <Words>939</Words>
  <Characters>5166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6093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6</cp:revision>
  <cp:lastPrinted>2011-10-07T12:04:00Z</cp:lastPrinted>
  <dcterms:created xsi:type="dcterms:W3CDTF">2018-04-19T08:22:00Z</dcterms:created>
  <dcterms:modified xsi:type="dcterms:W3CDTF">2018-04-19T08:25:00Z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