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31F" w:rsidRDefault="00E0731F" w:rsidP="00E0731F">
      <w:pPr>
        <w:pStyle w:val="00Chaptitre"/>
      </w:pPr>
      <w:r>
        <w:t>Synthèse</w:t>
      </w:r>
    </w:p>
    <w:p w:rsidR="00E0731F" w:rsidRPr="00357DEE" w:rsidRDefault="00E0731F" w:rsidP="00E0731F">
      <w:pPr>
        <w:pStyle w:val="04Exercicestitre"/>
      </w:pPr>
      <w:r w:rsidRPr="00357DEE">
        <w:t>Chapitre 17</w:t>
      </w:r>
      <w:r w:rsidRPr="00357DEE">
        <w:tab/>
        <w:t>Préparation et contrôle de la déclaration de TVA</w:t>
      </w:r>
    </w:p>
    <w:p w:rsidR="00E0731F" w:rsidRPr="00357DEE" w:rsidRDefault="00E0731F" w:rsidP="00E0731F">
      <w:pPr>
        <w:pStyle w:val="05ExerciceTitre"/>
      </w:pPr>
      <w:r w:rsidRPr="00357DEE">
        <w:t>I</w:t>
      </w:r>
      <w:r w:rsidRPr="00357DEE">
        <w:tab/>
        <w:t>Repérer et appréhender les obligations fiscales de l’entreprise en matière de TVA</w:t>
      </w:r>
    </w:p>
    <w:p w:rsidR="00E0731F" w:rsidRPr="00357DEE" w:rsidRDefault="00D001C8" w:rsidP="00E0731F">
      <w:pPr>
        <w:pStyle w:val="06Questionenonce"/>
      </w:pPr>
      <w:r>
        <w:t>A</w:t>
      </w:r>
      <w:r w:rsidR="00E0731F" w:rsidRPr="00357DEE">
        <w:tab/>
        <w:t>Le principe de la TVA</w:t>
      </w:r>
    </w:p>
    <w:p w:rsidR="00E0731F" w:rsidRPr="00357DEE" w:rsidRDefault="00E0731F" w:rsidP="00E0731F">
      <w:pPr>
        <w:pStyle w:val="TTextecourant"/>
      </w:pPr>
      <w:r w:rsidRPr="00357DEE">
        <w:t>La taxe sur la valeur ajoutée est un impôt général de consommation. Elle s’applique, sauf exception, à tous les biens et services consommés ou utilisés en France, qu’ils soient d’origine nationale ou étrangère.</w:t>
      </w:r>
    </w:p>
    <w:p w:rsidR="00E0731F" w:rsidRPr="00357DEE" w:rsidRDefault="00E0731F" w:rsidP="00E0731F">
      <w:pPr>
        <w:pStyle w:val="TTextecourant"/>
      </w:pPr>
      <w:r w:rsidRPr="00357DEE">
        <w:t>La TVA a pour base la valeur ajoutée créée par les entreprises. La valeur ajoutée est la différence entre la valeur des biens et services produits par l’entreprise et la valeur des consommations intermédiaires. En théorie, la taxe due à l’État est calculée sur la valeur ajoutée.</w:t>
      </w:r>
    </w:p>
    <w:p w:rsidR="00E0731F" w:rsidRPr="00357DEE" w:rsidRDefault="00E0731F" w:rsidP="00E0731F">
      <w:pPr>
        <w:pStyle w:val="TTextecourant"/>
      </w:pPr>
      <w:r w:rsidRPr="00357DEE">
        <w:t>En pratique, elle est calculée par l’entreprise par la différence entre la TVA collectée (payée par le client) et le TVA déductible (payée au fournisseur).</w:t>
      </w:r>
    </w:p>
    <w:tbl>
      <w:tblPr>
        <w:tblStyle w:val="Grilledutableau"/>
        <w:tblW w:w="0" w:type="auto"/>
        <w:tblLook w:val="04A0" w:firstRow="1" w:lastRow="0" w:firstColumn="1" w:lastColumn="0" w:noHBand="0" w:noVBand="1"/>
      </w:tblPr>
      <w:tblGrid>
        <w:gridCol w:w="2303"/>
        <w:gridCol w:w="2303"/>
        <w:gridCol w:w="2303"/>
        <w:gridCol w:w="2303"/>
      </w:tblGrid>
      <w:tr w:rsidR="00E0731F" w:rsidRPr="00357DEE" w:rsidTr="001F0D7C">
        <w:tc>
          <w:tcPr>
            <w:tcW w:w="4606" w:type="dxa"/>
            <w:gridSpan w:val="2"/>
          </w:tcPr>
          <w:p w:rsidR="00E0731F" w:rsidRPr="00357DEE" w:rsidRDefault="00E0731F" w:rsidP="00E0731F">
            <w:pPr>
              <w:pStyle w:val="Tableautetiere"/>
            </w:pPr>
            <w:r w:rsidRPr="00357DEE">
              <w:t>Calcul sur la valeur ajoutée</w:t>
            </w:r>
          </w:p>
        </w:tc>
        <w:tc>
          <w:tcPr>
            <w:tcW w:w="4606" w:type="dxa"/>
            <w:gridSpan w:val="2"/>
          </w:tcPr>
          <w:p w:rsidR="00E0731F" w:rsidRPr="00357DEE" w:rsidRDefault="00E0731F" w:rsidP="00E0731F">
            <w:pPr>
              <w:pStyle w:val="Tableautetiere"/>
            </w:pPr>
            <w:r w:rsidRPr="00357DEE">
              <w:t>Calculée par l’entreprise «</w:t>
            </w:r>
            <w:r w:rsidRPr="00357DEE">
              <w:rPr>
                <w:rFonts w:ascii="Arial" w:hAnsi="Arial" w:cs="Arial"/>
              </w:rPr>
              <w:t> </w:t>
            </w:r>
            <w:r w:rsidRPr="00357DEE">
              <w:t>collecteur</w:t>
            </w:r>
            <w:r w:rsidRPr="00357DEE">
              <w:rPr>
                <w:rFonts w:ascii="Arial" w:hAnsi="Arial" w:cs="Arial"/>
              </w:rPr>
              <w:t> </w:t>
            </w:r>
            <w:r w:rsidRPr="00357DEE">
              <w:rPr>
                <w:rFonts w:ascii="Guide Pedago NCond" w:hAnsi="Guide Pedago NCond" w:cs="Guide Pedago NCond"/>
              </w:rPr>
              <w:t>»</w:t>
            </w:r>
            <w:r w:rsidRPr="00357DEE">
              <w:t xml:space="preserve"> d</w:t>
            </w:r>
            <w:r w:rsidRPr="00357DEE">
              <w:rPr>
                <w:rFonts w:ascii="Guide Pedago NCond" w:hAnsi="Guide Pedago NCond" w:cs="Guide Pedago NCond"/>
              </w:rPr>
              <w:t>’</w:t>
            </w:r>
            <w:r w:rsidRPr="00357DEE">
              <w:t>imp</w:t>
            </w:r>
            <w:r w:rsidRPr="00357DEE">
              <w:rPr>
                <w:rFonts w:ascii="Guide Pedago NCond" w:hAnsi="Guide Pedago NCond" w:cs="Guide Pedago NCond"/>
              </w:rPr>
              <w:t>ô</w:t>
            </w:r>
            <w:r w:rsidRPr="00357DEE">
              <w:t>t</w:t>
            </w:r>
          </w:p>
        </w:tc>
      </w:tr>
      <w:tr w:rsidR="00E0731F" w:rsidRPr="00357DEE" w:rsidTr="001F0D7C">
        <w:tc>
          <w:tcPr>
            <w:tcW w:w="2303" w:type="dxa"/>
          </w:tcPr>
          <w:p w:rsidR="00E0731F" w:rsidRPr="00357DEE" w:rsidRDefault="00E0731F" w:rsidP="00E0731F">
            <w:pPr>
              <w:pStyle w:val="Tableaucourant"/>
            </w:pPr>
            <w:r w:rsidRPr="00357DEE">
              <w:t>Prix d’achat</w:t>
            </w:r>
            <w:r w:rsidRPr="00357DEE">
              <w:rPr>
                <w:rFonts w:ascii="Arial" w:hAnsi="Arial" w:cs="Arial"/>
              </w:rPr>
              <w:t> </w:t>
            </w:r>
            <w:r w:rsidRPr="00357DEE">
              <w:t>: 200</w:t>
            </w:r>
            <w:r w:rsidRPr="00357DEE">
              <w:rPr>
                <w:rFonts w:ascii="Arial" w:hAnsi="Arial" w:cs="Arial"/>
              </w:rPr>
              <w:t> </w:t>
            </w:r>
            <w:r w:rsidRPr="00357DEE">
              <w:t>€</w:t>
            </w:r>
          </w:p>
        </w:tc>
        <w:tc>
          <w:tcPr>
            <w:tcW w:w="2303" w:type="dxa"/>
          </w:tcPr>
          <w:p w:rsidR="00E0731F" w:rsidRPr="00357DEE" w:rsidRDefault="00E0731F" w:rsidP="00E0731F">
            <w:pPr>
              <w:pStyle w:val="Tableaucourant"/>
            </w:pPr>
            <w:r w:rsidRPr="00357DEE">
              <w:t>Prix de vente</w:t>
            </w:r>
            <w:r w:rsidRPr="00357DEE">
              <w:rPr>
                <w:rFonts w:ascii="Arial" w:hAnsi="Arial" w:cs="Arial"/>
              </w:rPr>
              <w:t> </w:t>
            </w:r>
            <w:r w:rsidRPr="00357DEE">
              <w:t>: 300</w:t>
            </w:r>
            <w:r w:rsidRPr="00357DEE">
              <w:rPr>
                <w:rFonts w:ascii="Arial" w:hAnsi="Arial" w:cs="Arial"/>
              </w:rPr>
              <w:t> </w:t>
            </w:r>
            <w:r w:rsidRPr="00357DEE">
              <w:t>€</w:t>
            </w:r>
          </w:p>
        </w:tc>
        <w:tc>
          <w:tcPr>
            <w:tcW w:w="2303" w:type="dxa"/>
          </w:tcPr>
          <w:p w:rsidR="00E0731F" w:rsidRPr="00357DEE" w:rsidRDefault="00E0731F" w:rsidP="00E0731F">
            <w:pPr>
              <w:pStyle w:val="Tableaucourant"/>
            </w:pPr>
            <w:r w:rsidRPr="00357DEE">
              <w:t>Prix d’achat</w:t>
            </w:r>
            <w:r w:rsidRPr="00357DEE">
              <w:rPr>
                <w:rFonts w:ascii="Arial" w:hAnsi="Arial" w:cs="Arial"/>
              </w:rPr>
              <w:t> </w:t>
            </w:r>
            <w:r w:rsidRPr="00357DEE">
              <w:t>: 200</w:t>
            </w:r>
            <w:r w:rsidRPr="00357DEE">
              <w:rPr>
                <w:rFonts w:ascii="Arial" w:hAnsi="Arial" w:cs="Arial"/>
              </w:rPr>
              <w:t> </w:t>
            </w:r>
            <w:r w:rsidRPr="00357DEE">
              <w:t>€</w:t>
            </w:r>
          </w:p>
        </w:tc>
        <w:tc>
          <w:tcPr>
            <w:tcW w:w="2303" w:type="dxa"/>
          </w:tcPr>
          <w:p w:rsidR="00E0731F" w:rsidRPr="00357DEE" w:rsidRDefault="00E0731F" w:rsidP="00E0731F">
            <w:pPr>
              <w:pStyle w:val="Tableaucourant"/>
            </w:pPr>
            <w:r w:rsidRPr="00357DEE">
              <w:t>Prix de vente</w:t>
            </w:r>
            <w:r w:rsidRPr="00357DEE">
              <w:rPr>
                <w:rFonts w:ascii="Arial" w:hAnsi="Arial" w:cs="Arial"/>
              </w:rPr>
              <w:t> </w:t>
            </w:r>
            <w:r w:rsidRPr="00357DEE">
              <w:t>: 300</w:t>
            </w:r>
            <w:r w:rsidRPr="00357DEE">
              <w:rPr>
                <w:rFonts w:ascii="Arial" w:hAnsi="Arial" w:cs="Arial"/>
              </w:rPr>
              <w:t> </w:t>
            </w:r>
            <w:r w:rsidRPr="00357DEE">
              <w:t>€</w:t>
            </w:r>
          </w:p>
        </w:tc>
      </w:tr>
      <w:tr w:rsidR="00E0731F" w:rsidRPr="00357DEE" w:rsidTr="001F0D7C">
        <w:trPr>
          <w:trHeight w:val="358"/>
        </w:trPr>
        <w:tc>
          <w:tcPr>
            <w:tcW w:w="4606" w:type="dxa"/>
            <w:gridSpan w:val="2"/>
          </w:tcPr>
          <w:p w:rsidR="00E0731F" w:rsidRPr="00357DEE" w:rsidRDefault="00E0731F" w:rsidP="00E0731F">
            <w:pPr>
              <w:pStyle w:val="Tableaucourant"/>
            </w:pPr>
            <w:r w:rsidRPr="00357DEE">
              <w:t>Valeur ajoutée par l’entreprise</w:t>
            </w:r>
            <w:r w:rsidRPr="00357DEE">
              <w:rPr>
                <w:rFonts w:ascii="Arial" w:hAnsi="Arial" w:cs="Arial"/>
              </w:rPr>
              <w:t> </w:t>
            </w:r>
            <w:r w:rsidRPr="00357DEE">
              <w:t>: 100</w:t>
            </w:r>
            <w:r w:rsidRPr="00357DEE">
              <w:rPr>
                <w:rFonts w:ascii="Arial" w:hAnsi="Arial" w:cs="Arial"/>
              </w:rPr>
              <w:t> </w:t>
            </w:r>
            <w:r w:rsidRPr="00357DEE">
              <w:t>€</w:t>
            </w:r>
          </w:p>
        </w:tc>
        <w:tc>
          <w:tcPr>
            <w:tcW w:w="2303" w:type="dxa"/>
          </w:tcPr>
          <w:p w:rsidR="00E0731F" w:rsidRPr="00357DEE" w:rsidRDefault="00E0731F" w:rsidP="00E0731F">
            <w:pPr>
              <w:pStyle w:val="Tableaucourant"/>
            </w:pPr>
            <w:r w:rsidRPr="00357DEE">
              <w:t>TVA payée au fournisseur</w:t>
            </w:r>
            <w:r w:rsidRPr="00357DEE">
              <w:rPr>
                <w:rFonts w:ascii="Arial" w:hAnsi="Arial" w:cs="Arial"/>
              </w:rPr>
              <w:t> </w:t>
            </w:r>
            <w:r w:rsidRPr="00357DEE">
              <w:t>: 11</w:t>
            </w:r>
            <w:r w:rsidRPr="00357DEE">
              <w:rPr>
                <w:rFonts w:ascii="Arial" w:hAnsi="Arial" w:cs="Arial"/>
              </w:rPr>
              <w:t> </w:t>
            </w:r>
            <w:r w:rsidRPr="00357DEE">
              <w:t>€</w:t>
            </w:r>
          </w:p>
        </w:tc>
        <w:tc>
          <w:tcPr>
            <w:tcW w:w="2303" w:type="dxa"/>
          </w:tcPr>
          <w:p w:rsidR="00E0731F" w:rsidRPr="00357DEE" w:rsidRDefault="00E0731F" w:rsidP="00E0731F">
            <w:pPr>
              <w:pStyle w:val="Tableaucourant"/>
            </w:pPr>
            <w:r w:rsidRPr="00357DEE">
              <w:t>TVA facturée au client</w:t>
            </w:r>
            <w:r w:rsidRPr="00357DEE">
              <w:rPr>
                <w:rFonts w:ascii="Arial" w:hAnsi="Arial" w:cs="Arial"/>
              </w:rPr>
              <w:t> </w:t>
            </w:r>
            <w:r w:rsidRPr="00357DEE">
              <w:t>: 16,50</w:t>
            </w:r>
            <w:r w:rsidRPr="00357DEE">
              <w:rPr>
                <w:rFonts w:ascii="Arial" w:hAnsi="Arial" w:cs="Arial"/>
              </w:rPr>
              <w:t> </w:t>
            </w:r>
            <w:r w:rsidRPr="00357DEE">
              <w:t>€</w:t>
            </w:r>
          </w:p>
        </w:tc>
      </w:tr>
      <w:tr w:rsidR="00E0731F" w:rsidRPr="00357DEE" w:rsidTr="001F0D7C">
        <w:tc>
          <w:tcPr>
            <w:tcW w:w="4606" w:type="dxa"/>
            <w:gridSpan w:val="2"/>
          </w:tcPr>
          <w:p w:rsidR="00E0731F" w:rsidRPr="00357DEE" w:rsidRDefault="00E0731F" w:rsidP="00E0731F">
            <w:pPr>
              <w:pStyle w:val="Tableaucourant"/>
            </w:pPr>
            <w:r w:rsidRPr="00357DEE">
              <w:t>Taxe due à l’État</w:t>
            </w:r>
            <w:r w:rsidRPr="00357DEE">
              <w:rPr>
                <w:rFonts w:ascii="Arial" w:hAnsi="Arial" w:cs="Arial"/>
              </w:rPr>
              <w:t> </w:t>
            </w:r>
            <w:r w:rsidRPr="00357DEE">
              <w:t>: 10 × 5,5</w:t>
            </w:r>
            <w:r w:rsidRPr="00357DEE">
              <w:rPr>
                <w:rFonts w:ascii="Arial" w:hAnsi="Arial" w:cs="Arial"/>
              </w:rPr>
              <w:t> </w:t>
            </w:r>
            <w:r w:rsidRPr="00357DEE">
              <w:t>% = 5,5</w:t>
            </w:r>
            <w:r w:rsidRPr="00357DEE">
              <w:rPr>
                <w:rFonts w:ascii="Arial" w:hAnsi="Arial" w:cs="Arial"/>
              </w:rPr>
              <w:t> </w:t>
            </w:r>
            <w:r w:rsidRPr="00357DEE">
              <w:t>€</w:t>
            </w:r>
          </w:p>
        </w:tc>
        <w:tc>
          <w:tcPr>
            <w:tcW w:w="4606" w:type="dxa"/>
            <w:gridSpan w:val="2"/>
          </w:tcPr>
          <w:p w:rsidR="00E0731F" w:rsidRPr="00357DEE" w:rsidRDefault="00E0731F" w:rsidP="00E0731F">
            <w:pPr>
              <w:pStyle w:val="Tableaucourant"/>
            </w:pPr>
            <w:r w:rsidRPr="00357DEE">
              <w:t>Taxe due à l’État par l’entreprise</w:t>
            </w:r>
            <w:r w:rsidRPr="00357DEE">
              <w:rPr>
                <w:rFonts w:ascii="Arial" w:hAnsi="Arial" w:cs="Arial"/>
              </w:rPr>
              <w:t> </w:t>
            </w:r>
            <w:r w:rsidRPr="00357DEE">
              <w:t>: 16,5</w:t>
            </w:r>
            <w:r w:rsidRPr="00357DEE">
              <w:rPr>
                <w:rFonts w:ascii="Arial" w:hAnsi="Arial" w:cs="Arial"/>
              </w:rPr>
              <w:t> </w:t>
            </w:r>
            <w:r w:rsidRPr="00357DEE">
              <w:t>€ – 11</w:t>
            </w:r>
            <w:r w:rsidRPr="00357DEE">
              <w:rPr>
                <w:rFonts w:ascii="Arial" w:hAnsi="Arial" w:cs="Arial"/>
              </w:rPr>
              <w:t> </w:t>
            </w:r>
            <w:r w:rsidRPr="00357DEE">
              <w:t>€</w:t>
            </w:r>
            <w:r w:rsidRPr="00357DEE">
              <w:rPr>
                <w:rFonts w:ascii="Arial" w:hAnsi="Arial" w:cs="Arial"/>
              </w:rPr>
              <w:t> </w:t>
            </w:r>
            <w:r w:rsidRPr="00357DEE">
              <w:t>= 5,5</w:t>
            </w:r>
            <w:r w:rsidRPr="00357DEE">
              <w:rPr>
                <w:rFonts w:ascii="Arial" w:hAnsi="Arial" w:cs="Arial"/>
              </w:rPr>
              <w:t> </w:t>
            </w:r>
            <w:r w:rsidRPr="00357DEE">
              <w:t>€</w:t>
            </w:r>
          </w:p>
        </w:tc>
      </w:tr>
    </w:tbl>
    <w:p w:rsidR="00E0731F" w:rsidRPr="00357DEE" w:rsidRDefault="00E0731F" w:rsidP="00E0731F">
      <w:pPr>
        <w:pStyle w:val="TTextecourant"/>
      </w:pPr>
      <w:r w:rsidRPr="00357DEE">
        <w:t>La TVA est un impôt de consommation. C’est le consommateur final qui en supporte la charge. L’entreprise est un simple collecteur d’impôt.</w:t>
      </w:r>
    </w:p>
    <w:p w:rsidR="00E0731F" w:rsidRPr="00357DEE" w:rsidRDefault="00D001C8" w:rsidP="00E0731F">
      <w:pPr>
        <w:pStyle w:val="06Questionenonce"/>
      </w:pPr>
      <w:r>
        <w:t>B</w:t>
      </w:r>
      <w:r w:rsidR="00E0731F" w:rsidRPr="00357DEE">
        <w:tab/>
        <w:t xml:space="preserve">La généralisation des </w:t>
      </w:r>
      <w:proofErr w:type="spellStart"/>
      <w:r w:rsidR="00E0731F" w:rsidRPr="00357DEE">
        <w:t>téléprocédures</w:t>
      </w:r>
      <w:proofErr w:type="spellEnd"/>
    </w:p>
    <w:p w:rsidR="00E0731F" w:rsidRPr="00357DEE" w:rsidRDefault="00E0731F" w:rsidP="00E0731F">
      <w:pPr>
        <w:pStyle w:val="TTextecourant"/>
      </w:pPr>
      <w:r w:rsidRPr="00357DEE">
        <w:t xml:space="preserve">La </w:t>
      </w:r>
      <w:proofErr w:type="spellStart"/>
      <w:r w:rsidRPr="00357DEE">
        <w:t>téléprocédure</w:t>
      </w:r>
      <w:proofErr w:type="spellEnd"/>
      <w:r w:rsidRPr="00357DEE">
        <w:t xml:space="preserve"> permet de déclarer et de payer l’impôt en ligne par Internet. Elle est obligatoire sauf pour les entr</w:t>
      </w:r>
      <w:r w:rsidRPr="00357DEE">
        <w:t>e</w:t>
      </w:r>
      <w:r w:rsidRPr="00357DEE">
        <w:t>prises soumises au régime de la microentreprise.</w:t>
      </w:r>
    </w:p>
    <w:p w:rsidR="00E0731F" w:rsidRPr="00357DEE" w:rsidRDefault="00E0731F" w:rsidP="00E0731F">
      <w:pPr>
        <w:pStyle w:val="05ExerciceTitre"/>
      </w:pPr>
      <w:r w:rsidRPr="00357DEE">
        <w:t>II</w:t>
      </w:r>
      <w:r w:rsidRPr="00357DEE">
        <w:tab/>
        <w:t>Réaliser et contrôler la déclaration de TVA</w:t>
      </w:r>
    </w:p>
    <w:p w:rsidR="00E0731F" w:rsidRPr="00357DEE" w:rsidRDefault="00D001C8" w:rsidP="00E0731F">
      <w:pPr>
        <w:pStyle w:val="06Questionenonce"/>
      </w:pPr>
      <w:r>
        <w:t>A</w:t>
      </w:r>
      <w:r w:rsidR="00E0731F" w:rsidRPr="00357DEE">
        <w:tab/>
        <w:t>Les régimes de TVA</w:t>
      </w:r>
    </w:p>
    <w:p w:rsidR="00E0731F" w:rsidRPr="00357DEE" w:rsidRDefault="00E0731F" w:rsidP="00E0731F">
      <w:pPr>
        <w:pStyle w:val="TTextecourant"/>
      </w:pPr>
      <w:r w:rsidRPr="00357DEE">
        <w:t>Il existe trois régimes de TVA en fonction de l’activité et du chiffre d’affaires de l’entreprise.</w:t>
      </w:r>
    </w:p>
    <w:p w:rsidR="00E0731F" w:rsidRPr="00357DEE" w:rsidRDefault="00E0731F" w:rsidP="00E0731F">
      <w:pPr>
        <w:pStyle w:val="TEnumpuce"/>
      </w:pPr>
      <w:r w:rsidRPr="00357DEE">
        <w:t>La franchise : l’entreprise ne facture pas de TVA et ne peut donc pas récupérer la TVA sur ses achats. Il s’agit de microentreprises qui n’ont pas un chiffre d’affaires élevé.</w:t>
      </w:r>
    </w:p>
    <w:p w:rsidR="00E0731F" w:rsidRPr="00357DEE" w:rsidRDefault="00E0731F" w:rsidP="00E0731F">
      <w:pPr>
        <w:pStyle w:val="TEnumpuce"/>
      </w:pPr>
      <w:r w:rsidRPr="00357DEE">
        <w:t>Le régime du réel simplifié : l’entreprise ne déclare pas la TVA chaque mois mais le paiement se fait sous forme d’acomptes. La régularisation se fait lors de la déclaration annuelle.</w:t>
      </w:r>
    </w:p>
    <w:p w:rsidR="00E0731F" w:rsidRPr="00357DEE" w:rsidRDefault="00E0731F" w:rsidP="00E0731F">
      <w:pPr>
        <w:pStyle w:val="TEnumpuce"/>
      </w:pPr>
      <w:r w:rsidRPr="00357DEE">
        <w:t>Le régime du réel normal : l’entreprise déclare et paye sa TVA tous les mois.</w:t>
      </w:r>
    </w:p>
    <w:p w:rsidR="00E0731F" w:rsidRPr="00357DEE" w:rsidRDefault="00D001C8" w:rsidP="00E0731F">
      <w:pPr>
        <w:pStyle w:val="06Questionenonce"/>
      </w:pPr>
      <w:r>
        <w:t>B</w:t>
      </w:r>
      <w:r w:rsidR="00E0731F" w:rsidRPr="00357DEE">
        <w:tab/>
        <w:t>La notion de territorialité</w:t>
      </w:r>
    </w:p>
    <w:p w:rsidR="00E0731F" w:rsidRPr="00357DEE" w:rsidRDefault="00E0731F" w:rsidP="00E0731F">
      <w:pPr>
        <w:pStyle w:val="TTextecourant"/>
      </w:pPr>
      <w:r w:rsidRPr="00357DEE">
        <w:t>Seules sont taxées les opérations dont le lieu d’imposition est situé en France.</w:t>
      </w:r>
    </w:p>
    <w:p w:rsidR="00E0731F" w:rsidRPr="00357DEE" w:rsidRDefault="00E0731F" w:rsidP="00E0731F">
      <w:pPr>
        <w:pStyle w:val="TTextecourant"/>
      </w:pPr>
      <w:r w:rsidRPr="00357DEE">
        <w:t>L’UE représente un territoire sans frontière pour les échanges, et les notions d’importation et d’exportation ont été remplacées par celles d’acquisitions intracommunautaires et de livraisons intracommunautaires.</w:t>
      </w:r>
    </w:p>
    <w:p w:rsidR="00E0731F" w:rsidRPr="00357DEE" w:rsidRDefault="00E0731F" w:rsidP="00E0731F">
      <w:pPr>
        <w:pStyle w:val="TTextecourant"/>
      </w:pPr>
      <w:r w:rsidRPr="00357DEE">
        <w:t>Les livraisons intracommunautaires sont le plus souvent exonérées. La livraison doit être effectuée à titre onéreux, le vendeur et l’acheteur sont assujettis à la TVA (ce dernier doit fournir son numéro d’identification à la TVA dans un autre État membre), le bien est effectivement transporté ou expédié dans un autre État membre de l’UE.</w:t>
      </w:r>
    </w:p>
    <w:p w:rsidR="00E0731F" w:rsidRPr="00357DEE" w:rsidRDefault="00E0731F" w:rsidP="00E0731F">
      <w:pPr>
        <w:pStyle w:val="TTextecourant"/>
      </w:pPr>
      <w:r w:rsidRPr="00357DEE">
        <w:t>Les acquisitions intracommunautaires sont taxables dans l’État d’arrivée des biens.</w:t>
      </w:r>
    </w:p>
    <w:p w:rsidR="00E0731F" w:rsidRPr="00357DEE" w:rsidRDefault="00E0731F" w:rsidP="00E0731F">
      <w:pPr>
        <w:pStyle w:val="TTextecourant"/>
      </w:pPr>
      <w:r w:rsidRPr="00357DEE">
        <w:t>Le client reçoit de son fournisseur une facture sans TVA s’il a fourni son numéro de TVA intracommunautaire. La TVA est due par l’acheteur lui-même qui devra liquider la taxe sur une ligne particulière de sa déclaration de TVA. Il pourra demander la déduction de cette taxe sur la même déclaration.</w:t>
      </w:r>
    </w:p>
    <w:p w:rsidR="00E0731F" w:rsidRPr="00357DEE" w:rsidRDefault="00D001C8" w:rsidP="00E0731F">
      <w:pPr>
        <w:pStyle w:val="06Questionenonce"/>
      </w:pPr>
      <w:r>
        <w:t>C</w:t>
      </w:r>
      <w:r w:rsidR="00E0731F" w:rsidRPr="00357DEE">
        <w:tab/>
        <w:t>Les échanges hors communauté européenne</w:t>
      </w:r>
    </w:p>
    <w:p w:rsidR="00E0731F" w:rsidRPr="00357DEE" w:rsidRDefault="00E0731F" w:rsidP="00E0731F">
      <w:pPr>
        <w:pStyle w:val="TEnumpuce"/>
      </w:pPr>
      <w:r w:rsidRPr="00357DEE">
        <w:t>Les exportations sont exonérées de TVA.</w:t>
      </w:r>
    </w:p>
    <w:p w:rsidR="00E0731F" w:rsidRPr="00357DEE" w:rsidRDefault="00E0731F" w:rsidP="00E0731F">
      <w:pPr>
        <w:pStyle w:val="TEnumpuce"/>
      </w:pPr>
      <w:r w:rsidRPr="00357DEE">
        <w:t>Les importations sont soumises à la TVA française. La TVA devient exigible au passage en douane.</w:t>
      </w:r>
    </w:p>
    <w:p w:rsidR="00E0731F" w:rsidRPr="00357DEE" w:rsidRDefault="00D001C8" w:rsidP="00E0731F">
      <w:pPr>
        <w:pStyle w:val="06Questionenonce"/>
      </w:pPr>
      <w:r>
        <w:t>D</w:t>
      </w:r>
      <w:bookmarkStart w:id="0" w:name="_GoBack"/>
      <w:bookmarkEnd w:id="0"/>
      <w:r w:rsidR="00E0731F" w:rsidRPr="00357DEE">
        <w:tab/>
        <w:t>Le fait générateur et l’exigibilité</w:t>
      </w:r>
    </w:p>
    <w:p w:rsidR="00E0731F" w:rsidRPr="00357DEE" w:rsidRDefault="00E0731F" w:rsidP="00E0731F">
      <w:pPr>
        <w:pStyle w:val="TTextecourant"/>
      </w:pPr>
      <w:r w:rsidRPr="00357DEE">
        <w:t>Le fait générateur est l’évènement qui donne naissance à l’obligation fiscale. Pour les biens meubles corporels, il s’agit de l’achat. Pour les prestations de service, dès que la prestation est effectuée.</w:t>
      </w:r>
    </w:p>
    <w:p w:rsidR="00E0731F" w:rsidRPr="00357DEE" w:rsidRDefault="00E0731F" w:rsidP="00E0731F">
      <w:pPr>
        <w:pStyle w:val="TTextecourant"/>
      </w:pPr>
      <w:r w:rsidRPr="00357DEE">
        <w:t>L’exigibilité, c’est la date à laquelle l’État peut demander le paiement de sa créance en matière de TVA au vendeur. Pour les biens meubles, il s’agit de l’achat.</w:t>
      </w:r>
    </w:p>
    <w:p w:rsidR="00E0731F" w:rsidRPr="00357DEE" w:rsidRDefault="00E0731F" w:rsidP="00E0731F">
      <w:pPr>
        <w:pStyle w:val="TTextecourant"/>
      </w:pPr>
      <w:r w:rsidRPr="00357DEE">
        <w:t>Pour les prestations de service : lors de l’encaissement d’un acompte ou du prix. La TVA est exigible lors de l’encaissement de chaque paiement.</w:t>
      </w:r>
    </w:p>
    <w:p w:rsidR="00E0731F" w:rsidRPr="00357DEE" w:rsidRDefault="00E0731F" w:rsidP="00E0731F">
      <w:pPr>
        <w:pStyle w:val="TTextecourant"/>
      </w:pPr>
      <w:r w:rsidRPr="00357DEE">
        <w:lastRenderedPageBreak/>
        <w:t>L’entreprise peut opter pour une option sur les débits. La taxe est exigible dès la réalisation de la prestation. Il faut alors une déclaration écrite auprès du service des impôts des entreprises. Le professionnel indique alors sur ses fa</w:t>
      </w:r>
      <w:r w:rsidRPr="00357DEE">
        <w:t>c</w:t>
      </w:r>
      <w:r w:rsidRPr="00357DEE">
        <w:t>tures qu’il paye la TVA sur les débits et prévient ainsi son client professionnel qu’il peut déduire la TVA immédiat</w:t>
      </w:r>
      <w:r w:rsidRPr="00357DEE">
        <w:t>e</w:t>
      </w:r>
      <w:r w:rsidRPr="00357DEE">
        <w:t>ment sans attendre le paiement.</w:t>
      </w:r>
    </w:p>
    <w:p w:rsidR="00E0731F" w:rsidRPr="00357DEE" w:rsidRDefault="00E0731F" w:rsidP="00E0731F">
      <w:pPr>
        <w:pStyle w:val="05ExerciceTitre"/>
      </w:pPr>
      <w:r w:rsidRPr="00357DEE">
        <w:t>III</w:t>
      </w:r>
      <w:r w:rsidRPr="00357DEE">
        <w:tab/>
        <w:t>Gérer la DEB</w:t>
      </w:r>
    </w:p>
    <w:p w:rsidR="00E0731F" w:rsidRPr="00357DEE" w:rsidRDefault="00E0731F" w:rsidP="00E0731F">
      <w:pPr>
        <w:pStyle w:val="TTextecourant"/>
      </w:pPr>
      <w:r w:rsidRPr="00357DEE">
        <w:t>À l’intérieur de l’Union européenne, l'entreprise effectue la plupart de ses échanges commerciaux librement, sans fo</w:t>
      </w:r>
      <w:r w:rsidRPr="00357DEE">
        <w:t>r</w:t>
      </w:r>
      <w:r w:rsidRPr="00357DEE">
        <w:t>malité et sans contrôle aux frontières : elle n’établit pas de déclaration en douane. Toutefois, elle doit transmettre me</w:t>
      </w:r>
      <w:r w:rsidRPr="00357DEE">
        <w:t>n</w:t>
      </w:r>
      <w:r w:rsidRPr="00357DEE">
        <w:t>suellement à la douane une déclaration d’échanges de biens (DEB) reprenant l’ensemble de ses échanges intracomm</w:t>
      </w:r>
      <w:r w:rsidRPr="00357DEE">
        <w:t>u</w:t>
      </w:r>
      <w:r w:rsidRPr="00357DEE">
        <w:t>nautaires.</w:t>
      </w:r>
    </w:p>
    <w:p w:rsidR="00E0731F" w:rsidRPr="00357DEE" w:rsidRDefault="00E0731F" w:rsidP="00E0731F">
      <w:pPr>
        <w:pStyle w:val="TTextecourant"/>
      </w:pPr>
      <w:r w:rsidRPr="00357DEE">
        <w:t xml:space="preserve">Le DEB est donc un document qui récapitule, pour une entreprise, l'ensemble des introductions et des expéditions effectuées avec les autres États membres de l'UE. Cette déclaration est à transmettre à la </w:t>
      </w:r>
      <w:r w:rsidRPr="00E0731F">
        <w:t>douane</w:t>
      </w:r>
      <w:r w:rsidRPr="00357DEE">
        <w:t xml:space="preserve"> mensuellement pour deux raisons :</w:t>
      </w:r>
    </w:p>
    <w:p w:rsidR="00E0731F" w:rsidRPr="00357DEE" w:rsidRDefault="00E0731F" w:rsidP="00E0731F">
      <w:pPr>
        <w:pStyle w:val="TEnumpuce"/>
      </w:pPr>
      <w:r w:rsidRPr="00357DEE">
        <w:t>permettre l’administration des douanes de suivre les flux de marchandises ;</w:t>
      </w:r>
    </w:p>
    <w:p w:rsidR="00806FB8" w:rsidRPr="00E0731F" w:rsidRDefault="00E0731F" w:rsidP="00E0731F">
      <w:pPr>
        <w:pStyle w:val="TEnumpuce"/>
      </w:pPr>
      <w:r w:rsidRPr="00357DEE">
        <w:t>permettre d’établir des statistiques du commerce extérieur de la France.</w:t>
      </w:r>
    </w:p>
    <w:sectPr w:rsidR="00806FB8" w:rsidRPr="00E0731F"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77A" w:rsidRDefault="00A9477A" w:rsidP="004016EA">
      <w:r>
        <w:separator/>
      </w:r>
    </w:p>
  </w:endnote>
  <w:endnote w:type="continuationSeparator" w:id="0">
    <w:p w:rsidR="00A9477A" w:rsidRDefault="00A9477A"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FC2380">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D001C8">
      <w:rPr>
        <w:rStyle w:val="Folio"/>
        <w:b/>
        <w:bCs/>
        <w:noProof/>
      </w:rPr>
      <w:t>2</w:t>
    </w:r>
    <w:r>
      <w:rPr>
        <w:rStyle w:val="Folio"/>
        <w:b/>
        <w:bCs/>
      </w:rPr>
      <w:fldChar w:fldCharType="end"/>
    </w:r>
    <w:r w:rsidR="004016EA">
      <w:rPr>
        <w:rStyle w:val="Folio"/>
        <w:b/>
        <w:bCs/>
      </w:rPr>
      <w:t xml:space="preserve">  </w:t>
    </w:r>
    <w:r w:rsidR="004016EA">
      <w:rPr>
        <w:w w:val="100"/>
      </w:rPr>
      <w:tab/>
    </w:r>
    <w:r w:rsidR="00FC2380">
      <w:rPr>
        <w:w w:val="100"/>
      </w:rPr>
      <w:t xml:space="preserve">Situation professionnelle </w:t>
    </w:r>
    <w:proofErr w:type="spellStart"/>
    <w:r w:rsidR="00FC2380">
      <w:rPr>
        <w:w w:val="100"/>
      </w:rPr>
      <w:t>Galetezenn</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FC2380">
      <w:rPr>
        <w:rStyle w:val="Bold"/>
      </w:rPr>
      <w:t>17</w:t>
    </w:r>
    <w:r>
      <w:rPr>
        <w:rStyle w:val="Bold"/>
      </w:rPr>
      <w:t xml:space="preserve"> </w:t>
    </w:r>
    <w:r w:rsidR="00FC2380">
      <w:t>–</w:t>
    </w:r>
    <w:r>
      <w:t xml:space="preserve"> </w:t>
    </w:r>
    <w:r w:rsidR="00FC2380" w:rsidRPr="00357DEE">
      <w:t>Préparation et contrôle de la déclaration de TVA</w:t>
    </w:r>
    <w:r>
      <w:tab/>
    </w:r>
    <w:r w:rsidR="006C0120">
      <w:rPr>
        <w:rStyle w:val="Folio"/>
      </w:rPr>
      <w:fldChar w:fldCharType="begin"/>
    </w:r>
    <w:r>
      <w:rPr>
        <w:rStyle w:val="Folio"/>
      </w:rPr>
      <w:instrText xml:space="preserve"> PAGE </w:instrText>
    </w:r>
    <w:r w:rsidR="006C0120">
      <w:rPr>
        <w:rStyle w:val="Folio"/>
      </w:rPr>
      <w:fldChar w:fldCharType="separate"/>
    </w:r>
    <w:r w:rsidR="00D001C8">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77A" w:rsidRDefault="00A9477A" w:rsidP="004016EA">
      <w:r>
        <w:separator/>
      </w:r>
    </w:p>
  </w:footnote>
  <w:footnote w:type="continuationSeparator" w:id="0">
    <w:p w:rsidR="00A9477A" w:rsidRDefault="00A9477A"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24646B"/>
    <w:rsid w:val="00257766"/>
    <w:rsid w:val="00285EC5"/>
    <w:rsid w:val="0030498C"/>
    <w:rsid w:val="00324F73"/>
    <w:rsid w:val="00394FED"/>
    <w:rsid w:val="003A6641"/>
    <w:rsid w:val="004016EA"/>
    <w:rsid w:val="004A1FB0"/>
    <w:rsid w:val="004E20A9"/>
    <w:rsid w:val="004E2AD9"/>
    <w:rsid w:val="006B172B"/>
    <w:rsid w:val="006B7D00"/>
    <w:rsid w:val="006C0120"/>
    <w:rsid w:val="00722537"/>
    <w:rsid w:val="00757BA2"/>
    <w:rsid w:val="007763D4"/>
    <w:rsid w:val="0079080C"/>
    <w:rsid w:val="00806FB8"/>
    <w:rsid w:val="00810809"/>
    <w:rsid w:val="008554DD"/>
    <w:rsid w:val="009215F2"/>
    <w:rsid w:val="009C3943"/>
    <w:rsid w:val="009C7BAC"/>
    <w:rsid w:val="00A9477A"/>
    <w:rsid w:val="00AD6532"/>
    <w:rsid w:val="00B81F3B"/>
    <w:rsid w:val="00BD34C9"/>
    <w:rsid w:val="00BF47D4"/>
    <w:rsid w:val="00C02E8D"/>
    <w:rsid w:val="00C20988"/>
    <w:rsid w:val="00C37BCE"/>
    <w:rsid w:val="00CF04A9"/>
    <w:rsid w:val="00CF17D4"/>
    <w:rsid w:val="00D001C8"/>
    <w:rsid w:val="00D1160A"/>
    <w:rsid w:val="00E0731F"/>
    <w:rsid w:val="00E11FF6"/>
    <w:rsid w:val="00EE26B7"/>
    <w:rsid w:val="00EE3A58"/>
    <w:rsid w:val="00F030C4"/>
    <w:rsid w:val="00F45FE9"/>
    <w:rsid w:val="00F80B95"/>
    <w:rsid w:val="00FC2380"/>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E0731F"/>
    <w:pPr>
      <w:spacing w:after="0"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E0731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E0731F"/>
    <w:pPr>
      <w:spacing w:after="0"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E073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8BC2E-7C19-4CAD-8D67-425A14E42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4</TotalTime>
  <Pages>2</Pages>
  <Words>782</Words>
  <Characters>4303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5075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5</cp:revision>
  <cp:lastPrinted>2011-10-07T12:04:00Z</cp:lastPrinted>
  <dcterms:created xsi:type="dcterms:W3CDTF">2018-04-23T12:36:00Z</dcterms:created>
  <dcterms:modified xsi:type="dcterms:W3CDTF">2018-04-23T12:39:00Z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