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06/relationships/ui/userCustomization" Target="userCustomization/customUI.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31AB0" w:rsidRPr="005A13A0" w:rsidRDefault="00631AB0" w:rsidP="00862BB8">
      <w:pPr>
        <w:pStyle w:val="00Chaptitre"/>
      </w:pPr>
      <w:r w:rsidRPr="005A13A0">
        <w:t>Synthèse</w:t>
      </w:r>
    </w:p>
    <w:p w:rsidR="00631AB0" w:rsidRPr="005A13A0" w:rsidRDefault="00631AB0" w:rsidP="00862BB8">
      <w:pPr>
        <w:pStyle w:val="04Exercicestitre"/>
      </w:pPr>
      <w:r w:rsidRPr="005A13A0">
        <w:t>Chapitre 18</w:t>
      </w:r>
      <w:r w:rsidRPr="005A13A0">
        <w:tab/>
      </w:r>
      <w:bookmarkStart w:id="0" w:name="_GoBack"/>
      <w:r w:rsidRPr="005A13A0">
        <w:t>Évaluation et suivi des risques liés aux échanges internationaux</w:t>
      </w:r>
      <w:bookmarkEnd w:id="0"/>
    </w:p>
    <w:p w:rsidR="00631AB0" w:rsidRPr="005A13A0" w:rsidRDefault="00631AB0" w:rsidP="00862BB8">
      <w:pPr>
        <w:pStyle w:val="TTextecourant"/>
      </w:pPr>
      <w:r w:rsidRPr="005A13A0">
        <w:t>En 2016, l’étude de la direction générale des douanes a identifié près de 125 000 entreprises françaises exportatrices. Parmi elles, les PME et les microentreprises ne réalisent que 14 % des exportations de biens : 60 % des PME conce</w:t>
      </w:r>
      <w:r w:rsidRPr="005A13A0">
        <w:t>r</w:t>
      </w:r>
      <w:r w:rsidRPr="005A13A0">
        <w:t>nées n’exportent qu’un seul produit et elles ne sont que 15 % à proposer plus de 4 produits. Par ailleurs, 70 % d’entre elles n’exportent que vers un seul pays, 15 % seulement d</w:t>
      </w:r>
      <w:r w:rsidRPr="005A13A0">
        <w:t>é</w:t>
      </w:r>
      <w:r w:rsidRPr="005A13A0">
        <w:t>passant les 4 pays.</w:t>
      </w:r>
    </w:p>
    <w:p w:rsidR="00631AB0" w:rsidRPr="005A13A0" w:rsidRDefault="00631AB0" w:rsidP="00862BB8">
      <w:pPr>
        <w:pStyle w:val="TTextecourant"/>
      </w:pPr>
      <w:r w:rsidRPr="005A13A0">
        <w:t>La faiblesse de ces chiffres est souvent provoquée par l’isolement des chefs d’entreprise face à la co</w:t>
      </w:r>
      <w:r w:rsidRPr="005A13A0">
        <w:t>m</w:t>
      </w:r>
      <w:r w:rsidRPr="005A13A0">
        <w:t>plexité de la vente à l’exportation. En effet, 55 % des PME exportatrices en 2015 n’exportaient plus en 2016. Faute de relais l</w:t>
      </w:r>
      <w:r w:rsidRPr="005A13A0">
        <w:t>o</w:t>
      </w:r>
      <w:r w:rsidRPr="005A13A0">
        <w:t>caux, de données géopolitiques actualisées et d’outils d’analyse, ils ont du mal à se faire une représentation juste des risques, des opportunités et des contraintes d’un marché à l’export.</w:t>
      </w:r>
    </w:p>
    <w:p w:rsidR="00631AB0" w:rsidRPr="005A13A0" w:rsidRDefault="00631AB0" w:rsidP="00862BB8">
      <w:pPr>
        <w:pStyle w:val="05MissionTitre"/>
      </w:pPr>
      <w:r w:rsidRPr="005A13A0">
        <w:t>I</w:t>
      </w:r>
      <w:r w:rsidRPr="005A13A0">
        <w:tab/>
        <w:t>L’appréciation des risques à l’exportation</w:t>
      </w:r>
    </w:p>
    <w:p w:rsidR="00631AB0" w:rsidRPr="005A13A0" w:rsidRDefault="00631AB0" w:rsidP="00862BB8">
      <w:pPr>
        <w:pStyle w:val="TTextecourant"/>
      </w:pPr>
      <w:r w:rsidRPr="005A13A0">
        <w:t xml:space="preserve">Selon J. </w:t>
      </w:r>
      <w:proofErr w:type="spellStart"/>
      <w:r w:rsidRPr="005A13A0">
        <w:t>Ojasalo</w:t>
      </w:r>
      <w:proofErr w:type="spellEnd"/>
      <w:r w:rsidRPr="005A13A0">
        <w:t> : « le risque est défini comme un évènement incertain susceptible d’avoir des répercu</w:t>
      </w:r>
      <w:r w:rsidRPr="005A13A0">
        <w:t>s</w:t>
      </w:r>
      <w:r w:rsidRPr="005A13A0">
        <w:t>sions négatives sur la réalisation des objectifs ». Ainsi, la méconnaissance des risques à l’exportation peut porter atteinte aux succès des entreprises à l’étranger. Les risques sont nombreux et leur évolution con</w:t>
      </w:r>
      <w:r w:rsidRPr="005A13A0">
        <w:t>s</w:t>
      </w:r>
      <w:r w:rsidRPr="005A13A0">
        <w:t>tante.</w:t>
      </w:r>
    </w:p>
    <w:p w:rsidR="00631AB0" w:rsidRPr="005A13A0" w:rsidRDefault="00631AB0" w:rsidP="00C963A9">
      <w:pPr>
        <w:pStyle w:val="Tableautitre"/>
      </w:pPr>
      <w:r w:rsidRPr="005A13A0">
        <w:t>Typologie des risques et leur couverture</w:t>
      </w:r>
    </w:p>
    <w:tbl>
      <w:tblPr>
        <w:tblStyle w:val="Grilledutableau"/>
        <w:tblW w:w="0" w:type="auto"/>
        <w:tblLook w:val="04A0" w:firstRow="1" w:lastRow="0" w:firstColumn="1" w:lastColumn="0" w:noHBand="0" w:noVBand="1"/>
      </w:tblPr>
      <w:tblGrid>
        <w:gridCol w:w="3539"/>
        <w:gridCol w:w="3260"/>
        <w:gridCol w:w="3260"/>
      </w:tblGrid>
      <w:tr w:rsidR="00631AB0" w:rsidRPr="005A13A0" w:rsidTr="009D69AB">
        <w:tc>
          <w:tcPr>
            <w:tcW w:w="3539" w:type="dxa"/>
          </w:tcPr>
          <w:p w:rsidR="00631AB0" w:rsidRPr="005A13A0" w:rsidRDefault="00631AB0" w:rsidP="00C963A9">
            <w:pPr>
              <w:pStyle w:val="Tableautetiere"/>
            </w:pPr>
            <w:r w:rsidRPr="005A13A0">
              <w:t>Risques</w:t>
            </w:r>
          </w:p>
        </w:tc>
        <w:tc>
          <w:tcPr>
            <w:tcW w:w="3260" w:type="dxa"/>
          </w:tcPr>
          <w:p w:rsidR="00631AB0" w:rsidRPr="005A13A0" w:rsidRDefault="00631AB0" w:rsidP="00C963A9">
            <w:pPr>
              <w:pStyle w:val="Tableautetiere"/>
            </w:pPr>
            <w:r w:rsidRPr="005A13A0">
              <w:t>Conséquences</w:t>
            </w:r>
          </w:p>
        </w:tc>
        <w:tc>
          <w:tcPr>
            <w:tcW w:w="3260" w:type="dxa"/>
          </w:tcPr>
          <w:p w:rsidR="00631AB0" w:rsidRPr="005A13A0" w:rsidRDefault="00631AB0" w:rsidP="00C963A9">
            <w:pPr>
              <w:pStyle w:val="Tableautetiere"/>
            </w:pPr>
            <w:r w:rsidRPr="005A13A0">
              <w:t>Couverture</w:t>
            </w:r>
          </w:p>
        </w:tc>
      </w:tr>
      <w:tr w:rsidR="00631AB0" w:rsidRPr="005A13A0" w:rsidTr="009D69AB">
        <w:tc>
          <w:tcPr>
            <w:tcW w:w="3539" w:type="dxa"/>
          </w:tcPr>
          <w:p w:rsidR="00631AB0" w:rsidRPr="00C963A9" w:rsidRDefault="00631AB0" w:rsidP="00C963A9">
            <w:pPr>
              <w:pStyle w:val="Tableaucourant"/>
              <w:rPr>
                <w:b/>
              </w:rPr>
            </w:pPr>
            <w:r w:rsidRPr="00C963A9">
              <w:rPr>
                <w:b/>
              </w:rPr>
              <w:t>Politiques</w:t>
            </w:r>
          </w:p>
          <w:p w:rsidR="00631AB0" w:rsidRPr="005A13A0" w:rsidRDefault="00631AB0" w:rsidP="00C963A9">
            <w:pPr>
              <w:pStyle w:val="Tableaucourant"/>
            </w:pPr>
            <w:r w:rsidRPr="005A13A0">
              <w:t>Mesures étatiques extraord</w:t>
            </w:r>
            <w:r w:rsidRPr="005A13A0">
              <w:t>i</w:t>
            </w:r>
            <w:r w:rsidRPr="005A13A0">
              <w:t>naires et évènements politiques à l’étranger (guerre, révolutions, embargos, nationalisations, m</w:t>
            </w:r>
            <w:r w:rsidRPr="005A13A0">
              <w:t>e</w:t>
            </w:r>
            <w:r w:rsidRPr="005A13A0">
              <w:t>sures protectionnistes…)</w:t>
            </w:r>
          </w:p>
        </w:tc>
        <w:tc>
          <w:tcPr>
            <w:tcW w:w="3260" w:type="dxa"/>
          </w:tcPr>
          <w:p w:rsidR="00631AB0" w:rsidRPr="005A13A0" w:rsidRDefault="00631AB0" w:rsidP="00C963A9">
            <w:pPr>
              <w:pStyle w:val="Tableaucourant"/>
            </w:pPr>
            <w:r w:rsidRPr="005A13A0">
              <w:t>Non-paiement, perte, saisie ou détérioration des marchandises. De telles situations pe</w:t>
            </w:r>
            <w:r w:rsidRPr="005A13A0">
              <w:t>u</w:t>
            </w:r>
            <w:r w:rsidRPr="005A13A0">
              <w:t>vent notamment engendrer une impossibilité de paiement de la part du débiteur de même que la perte, la saisie ou la détéri</w:t>
            </w:r>
            <w:r w:rsidRPr="005A13A0">
              <w:t>o</w:t>
            </w:r>
            <w:r w:rsidRPr="005A13A0">
              <w:t>ration de la ma</w:t>
            </w:r>
            <w:r w:rsidRPr="005A13A0">
              <w:t>r</w:t>
            </w:r>
            <w:r w:rsidRPr="005A13A0">
              <w:t>chandise.</w:t>
            </w:r>
          </w:p>
        </w:tc>
        <w:tc>
          <w:tcPr>
            <w:tcW w:w="3260" w:type="dxa"/>
          </w:tcPr>
          <w:p w:rsidR="00631AB0" w:rsidRPr="005A13A0" w:rsidRDefault="00631AB0" w:rsidP="00C963A9">
            <w:pPr>
              <w:pStyle w:val="Tableaucourant"/>
            </w:pPr>
            <w:r w:rsidRPr="005A13A0">
              <w:t>Garantie de bonne exécution des contrats</w:t>
            </w:r>
          </w:p>
          <w:p w:rsidR="00631AB0" w:rsidRPr="005A13A0" w:rsidRDefault="00631AB0" w:rsidP="00C963A9">
            <w:pPr>
              <w:pStyle w:val="Tableaucourant"/>
            </w:pPr>
            <w:r w:rsidRPr="005A13A0">
              <w:t>Protection du bilan</w:t>
            </w:r>
          </w:p>
          <w:p w:rsidR="00631AB0" w:rsidRPr="005A13A0" w:rsidRDefault="00631AB0" w:rsidP="00C963A9">
            <w:pPr>
              <w:pStyle w:val="Tableaucourant"/>
            </w:pPr>
            <w:r w:rsidRPr="005A13A0">
              <w:t>Protection des personnes</w:t>
            </w:r>
          </w:p>
          <w:p w:rsidR="00631AB0" w:rsidRPr="005A13A0" w:rsidRDefault="00631AB0" w:rsidP="00C963A9">
            <w:pPr>
              <w:pStyle w:val="Tableaucourant"/>
            </w:pPr>
            <w:r w:rsidRPr="005A13A0">
              <w:t>Garantie des actifs</w:t>
            </w:r>
          </w:p>
          <w:p w:rsidR="00631AB0" w:rsidRPr="005A13A0" w:rsidRDefault="00631AB0" w:rsidP="00C963A9">
            <w:pPr>
              <w:pStyle w:val="Tableaucourant"/>
            </w:pPr>
            <w:r w:rsidRPr="005A13A0">
              <w:t>Assurance prospection</w:t>
            </w:r>
          </w:p>
        </w:tc>
      </w:tr>
      <w:tr w:rsidR="00631AB0" w:rsidRPr="005A13A0" w:rsidTr="009D69AB">
        <w:tc>
          <w:tcPr>
            <w:tcW w:w="3539" w:type="dxa"/>
          </w:tcPr>
          <w:p w:rsidR="00631AB0" w:rsidRPr="00C963A9" w:rsidRDefault="00631AB0" w:rsidP="00C963A9">
            <w:pPr>
              <w:pStyle w:val="Tableaucourant"/>
              <w:rPr>
                <w:b/>
              </w:rPr>
            </w:pPr>
            <w:r w:rsidRPr="00C963A9">
              <w:rPr>
                <w:b/>
              </w:rPr>
              <w:t>Concurrentiels</w:t>
            </w:r>
          </w:p>
          <w:p w:rsidR="00631AB0" w:rsidRPr="005A13A0" w:rsidRDefault="00631AB0" w:rsidP="00C963A9">
            <w:pPr>
              <w:pStyle w:val="Tableaucourant"/>
            </w:pPr>
            <w:r w:rsidRPr="005A13A0">
              <w:t>Copie des produits et des comp</w:t>
            </w:r>
            <w:r w:rsidRPr="005A13A0">
              <w:t>o</w:t>
            </w:r>
            <w:r w:rsidRPr="005A13A0">
              <w:t>sants par la concurrence étrangère qui ne supportent pas les coûts de développ</w:t>
            </w:r>
            <w:r w:rsidRPr="005A13A0">
              <w:t>e</w:t>
            </w:r>
            <w:r w:rsidRPr="005A13A0">
              <w:t>ment.</w:t>
            </w:r>
          </w:p>
        </w:tc>
        <w:tc>
          <w:tcPr>
            <w:tcW w:w="3260" w:type="dxa"/>
          </w:tcPr>
          <w:p w:rsidR="00631AB0" w:rsidRPr="005A13A0" w:rsidRDefault="00631AB0" w:rsidP="00C963A9">
            <w:pPr>
              <w:pStyle w:val="Tableaucourant"/>
            </w:pPr>
            <w:r w:rsidRPr="005A13A0">
              <w:t>Perte du savoir-faire, arrivée de nouveaux concurrents sur le marché</w:t>
            </w:r>
          </w:p>
        </w:tc>
        <w:tc>
          <w:tcPr>
            <w:tcW w:w="3260" w:type="dxa"/>
          </w:tcPr>
          <w:p w:rsidR="00631AB0" w:rsidRPr="005A13A0" w:rsidRDefault="00631AB0" w:rsidP="00C963A9">
            <w:pPr>
              <w:pStyle w:val="Tableaucourant"/>
            </w:pPr>
            <w:r w:rsidRPr="005A13A0">
              <w:t>Dépôts de brevets, de marque ou des dessins et modèles a</w:t>
            </w:r>
            <w:r w:rsidRPr="005A13A0">
              <w:t>u</w:t>
            </w:r>
            <w:r w:rsidRPr="005A13A0">
              <w:t>près de l’INPI</w:t>
            </w:r>
          </w:p>
        </w:tc>
      </w:tr>
      <w:tr w:rsidR="00631AB0" w:rsidRPr="005A13A0" w:rsidTr="009D69AB">
        <w:tc>
          <w:tcPr>
            <w:tcW w:w="3539" w:type="dxa"/>
          </w:tcPr>
          <w:p w:rsidR="00631AB0" w:rsidRPr="00C963A9" w:rsidRDefault="00631AB0" w:rsidP="00C963A9">
            <w:pPr>
              <w:pStyle w:val="Tableaucourant"/>
              <w:rPr>
                <w:b/>
              </w:rPr>
            </w:pPr>
            <w:r w:rsidRPr="00C963A9">
              <w:rPr>
                <w:b/>
              </w:rPr>
              <w:t>Commerciaux</w:t>
            </w:r>
          </w:p>
          <w:p w:rsidR="00631AB0" w:rsidRPr="005A13A0" w:rsidRDefault="00631AB0" w:rsidP="00C963A9">
            <w:pPr>
              <w:pStyle w:val="Tableaucourant"/>
            </w:pPr>
            <w:r w:rsidRPr="005A13A0">
              <w:t>Incapacité temporaire ou défin</w:t>
            </w:r>
            <w:r w:rsidRPr="005A13A0">
              <w:t>i</w:t>
            </w:r>
            <w:r w:rsidRPr="005A13A0">
              <w:t>tive de l’acheteur à payer le mo</w:t>
            </w:r>
            <w:r w:rsidRPr="005A13A0">
              <w:t>n</w:t>
            </w:r>
            <w:r w:rsidRPr="005A13A0">
              <w:t>tant de la transaction dans les délais convenus</w:t>
            </w:r>
          </w:p>
        </w:tc>
        <w:tc>
          <w:tcPr>
            <w:tcW w:w="3260" w:type="dxa"/>
          </w:tcPr>
          <w:p w:rsidR="00631AB0" w:rsidRPr="005A13A0" w:rsidRDefault="00631AB0" w:rsidP="00C963A9">
            <w:pPr>
              <w:pStyle w:val="Tableaucourant"/>
            </w:pPr>
            <w:r w:rsidRPr="005A13A0">
              <w:t>Rupture de trésorerie par défaut de paiement, rédu</w:t>
            </w:r>
            <w:r w:rsidRPr="005A13A0">
              <w:t>c</w:t>
            </w:r>
            <w:r w:rsidRPr="005A13A0">
              <w:t>tion des marges et de la rentabilité de l’entreprise</w:t>
            </w:r>
          </w:p>
          <w:p w:rsidR="00631AB0" w:rsidRPr="005A13A0" w:rsidRDefault="00631AB0" w:rsidP="00C963A9">
            <w:pPr>
              <w:pStyle w:val="Tableaucourant"/>
            </w:pPr>
            <w:r w:rsidRPr="005A13A0">
              <w:t>À l’extrême, dépôt de bilan</w:t>
            </w:r>
          </w:p>
        </w:tc>
        <w:tc>
          <w:tcPr>
            <w:tcW w:w="3260" w:type="dxa"/>
          </w:tcPr>
          <w:p w:rsidR="00631AB0" w:rsidRPr="005A13A0" w:rsidRDefault="00631AB0" w:rsidP="00C963A9">
            <w:pPr>
              <w:pStyle w:val="Tableaucourant"/>
            </w:pPr>
            <w:r w:rsidRPr="005A13A0">
              <w:t>Moyens de paiement sécurisés (crédit documentaire, lettre de crédit stand-by)</w:t>
            </w:r>
          </w:p>
        </w:tc>
      </w:tr>
      <w:tr w:rsidR="00631AB0" w:rsidRPr="005A13A0" w:rsidTr="009D69AB">
        <w:tc>
          <w:tcPr>
            <w:tcW w:w="3539" w:type="dxa"/>
          </w:tcPr>
          <w:p w:rsidR="00631AB0" w:rsidRPr="00C963A9" w:rsidRDefault="00C963A9" w:rsidP="00C963A9">
            <w:pPr>
              <w:pStyle w:val="Tableaucourant"/>
              <w:rPr>
                <w:b/>
              </w:rPr>
            </w:pPr>
            <w:r w:rsidRPr="00C963A9">
              <w:rPr>
                <w:b/>
              </w:rPr>
              <w:t>De c</w:t>
            </w:r>
            <w:r w:rsidR="00631AB0" w:rsidRPr="00C963A9">
              <w:rPr>
                <w:b/>
              </w:rPr>
              <w:t>hange</w:t>
            </w:r>
          </w:p>
          <w:p w:rsidR="00631AB0" w:rsidRPr="005A13A0" w:rsidRDefault="00631AB0" w:rsidP="00C963A9">
            <w:pPr>
              <w:pStyle w:val="Tableaucourant"/>
            </w:pPr>
            <w:r w:rsidRPr="005A13A0">
              <w:t>Variation du taux de change diff</w:t>
            </w:r>
            <w:r w:rsidRPr="005A13A0">
              <w:t>i</w:t>
            </w:r>
            <w:r w:rsidRPr="005A13A0">
              <w:t>cilement prévisible</w:t>
            </w:r>
          </w:p>
        </w:tc>
        <w:tc>
          <w:tcPr>
            <w:tcW w:w="3260" w:type="dxa"/>
          </w:tcPr>
          <w:p w:rsidR="00631AB0" w:rsidRPr="005A13A0" w:rsidRDefault="00631AB0" w:rsidP="00C963A9">
            <w:pPr>
              <w:pStyle w:val="Tableaucourant"/>
            </w:pPr>
            <w:r w:rsidRPr="005A13A0">
              <w:t>Dévaluation du montant fact</w:t>
            </w:r>
            <w:r w:rsidRPr="005A13A0">
              <w:t>u</w:t>
            </w:r>
            <w:r w:rsidRPr="005A13A0">
              <w:t>ré</w:t>
            </w:r>
          </w:p>
          <w:p w:rsidR="00631AB0" w:rsidRPr="005A13A0" w:rsidRDefault="00631AB0" w:rsidP="00C963A9">
            <w:pPr>
              <w:pStyle w:val="Tableaucourant"/>
            </w:pPr>
            <w:r w:rsidRPr="005A13A0">
              <w:t>Baisse de la compétitivité des produits</w:t>
            </w:r>
          </w:p>
        </w:tc>
        <w:tc>
          <w:tcPr>
            <w:tcW w:w="3260" w:type="dxa"/>
          </w:tcPr>
          <w:p w:rsidR="00631AB0" w:rsidRPr="005A13A0" w:rsidRDefault="00631AB0" w:rsidP="00C963A9">
            <w:pPr>
              <w:pStyle w:val="Tableaucourant"/>
            </w:pPr>
            <w:r w:rsidRPr="005A13A0">
              <w:t>Les SWAP, contrat de couve</w:t>
            </w:r>
            <w:r w:rsidRPr="005A13A0">
              <w:t>r</w:t>
            </w:r>
            <w:r w:rsidRPr="005A13A0">
              <w:t>ture de change, change à terme…</w:t>
            </w:r>
          </w:p>
        </w:tc>
      </w:tr>
      <w:tr w:rsidR="00631AB0" w:rsidRPr="005A13A0" w:rsidTr="009D69AB">
        <w:tc>
          <w:tcPr>
            <w:tcW w:w="3539" w:type="dxa"/>
          </w:tcPr>
          <w:p w:rsidR="00631AB0" w:rsidRPr="00C963A9" w:rsidRDefault="00C963A9" w:rsidP="00C963A9">
            <w:pPr>
              <w:pStyle w:val="Tableaucourant"/>
              <w:rPr>
                <w:b/>
              </w:rPr>
            </w:pPr>
            <w:r w:rsidRPr="00C963A9">
              <w:rPr>
                <w:b/>
              </w:rPr>
              <w:t>De T</w:t>
            </w:r>
            <w:r w:rsidR="00631AB0" w:rsidRPr="00C963A9">
              <w:rPr>
                <w:b/>
              </w:rPr>
              <w:t>ransport</w:t>
            </w:r>
          </w:p>
          <w:p w:rsidR="00631AB0" w:rsidRPr="005A13A0" w:rsidRDefault="00631AB0" w:rsidP="00C963A9">
            <w:pPr>
              <w:pStyle w:val="Tableaucourant"/>
            </w:pPr>
            <w:r w:rsidRPr="005A13A0">
              <w:t>Perte, vol, détérioration de ma</w:t>
            </w:r>
            <w:r w:rsidRPr="005A13A0">
              <w:t>r</w:t>
            </w:r>
            <w:r w:rsidRPr="005A13A0">
              <w:t>chandises, avaries, écart de te</w:t>
            </w:r>
            <w:r w:rsidRPr="005A13A0">
              <w:t>m</w:t>
            </w:r>
            <w:r w:rsidRPr="005A13A0">
              <w:t>pérature…</w:t>
            </w:r>
          </w:p>
        </w:tc>
        <w:tc>
          <w:tcPr>
            <w:tcW w:w="3260" w:type="dxa"/>
          </w:tcPr>
          <w:p w:rsidR="00631AB0" w:rsidRPr="005A13A0" w:rsidRDefault="00631AB0" w:rsidP="00C963A9">
            <w:pPr>
              <w:pStyle w:val="Tableaucourant"/>
            </w:pPr>
            <w:r w:rsidRPr="005A13A0">
              <w:t>Retour de marchandises, re</w:t>
            </w:r>
            <w:r w:rsidRPr="005A13A0">
              <w:t>m</w:t>
            </w:r>
            <w:r w:rsidRPr="005A13A0">
              <w:t>placement des biens détéri</w:t>
            </w:r>
            <w:r w:rsidRPr="005A13A0">
              <w:t>o</w:t>
            </w:r>
            <w:r w:rsidRPr="005A13A0">
              <w:t>rés ou disparus</w:t>
            </w:r>
          </w:p>
          <w:p w:rsidR="00631AB0" w:rsidRPr="005A13A0" w:rsidRDefault="00631AB0" w:rsidP="00C963A9">
            <w:pPr>
              <w:pStyle w:val="Tableaucourant"/>
            </w:pPr>
            <w:r w:rsidRPr="005A13A0">
              <w:t>Perte de marge et de rentabil</w:t>
            </w:r>
            <w:r w:rsidRPr="005A13A0">
              <w:t>i</w:t>
            </w:r>
            <w:r w:rsidRPr="005A13A0">
              <w:t>té</w:t>
            </w:r>
          </w:p>
        </w:tc>
        <w:tc>
          <w:tcPr>
            <w:tcW w:w="3260" w:type="dxa"/>
          </w:tcPr>
          <w:p w:rsidR="00631AB0" w:rsidRPr="005A13A0" w:rsidRDefault="00631AB0" w:rsidP="00C963A9">
            <w:pPr>
              <w:pStyle w:val="Tableaucourant"/>
            </w:pPr>
            <w:r w:rsidRPr="005A13A0">
              <w:t>Assurance des marchandises</w:t>
            </w:r>
          </w:p>
          <w:p w:rsidR="00631AB0" w:rsidRPr="005A13A0" w:rsidRDefault="00631AB0" w:rsidP="00C963A9">
            <w:pPr>
              <w:pStyle w:val="Tableaucourant"/>
            </w:pPr>
            <w:r w:rsidRPr="005A13A0">
              <w:t>Incoterms</w:t>
            </w:r>
          </w:p>
        </w:tc>
      </w:tr>
    </w:tbl>
    <w:p w:rsidR="00631AB0" w:rsidRPr="005A13A0" w:rsidRDefault="00631AB0" w:rsidP="00862BB8">
      <w:pPr>
        <w:pStyle w:val="05MissionTitre"/>
      </w:pPr>
      <w:r w:rsidRPr="005A13A0">
        <w:t>II</w:t>
      </w:r>
      <w:r w:rsidRPr="005A13A0">
        <w:tab/>
        <w:t>Les moyens de paiement</w:t>
      </w:r>
    </w:p>
    <w:p w:rsidR="00631AB0" w:rsidRPr="005A13A0" w:rsidRDefault="00631AB0" w:rsidP="00862BB8">
      <w:pPr>
        <w:pStyle w:val="TTextecourant"/>
      </w:pPr>
      <w:r w:rsidRPr="005A13A0">
        <w:t>En dehors des moyens de paiement traditionnels (chèque, effet de commerce, virement Swift, encaiss</w:t>
      </w:r>
      <w:r w:rsidRPr="005A13A0">
        <w:t>e</w:t>
      </w:r>
      <w:r w:rsidRPr="005A13A0">
        <w:t>ment simple et contre-remboursement), certaines techniques permettent une sécurisation totale ou quasi-totale du paiement.</w:t>
      </w:r>
    </w:p>
    <w:tbl>
      <w:tblPr>
        <w:tblStyle w:val="Grilledutableau"/>
        <w:tblW w:w="0" w:type="auto"/>
        <w:tblLook w:val="04A0" w:firstRow="1" w:lastRow="0" w:firstColumn="1" w:lastColumn="0" w:noHBand="0" w:noVBand="1"/>
      </w:tblPr>
      <w:tblGrid>
        <w:gridCol w:w="3485"/>
        <w:gridCol w:w="6858"/>
      </w:tblGrid>
      <w:tr w:rsidR="00631AB0" w:rsidRPr="005A13A0" w:rsidTr="009D69AB">
        <w:tc>
          <w:tcPr>
            <w:tcW w:w="3485" w:type="dxa"/>
          </w:tcPr>
          <w:p w:rsidR="00631AB0" w:rsidRPr="005A13A0" w:rsidRDefault="00631AB0" w:rsidP="00C963A9">
            <w:pPr>
              <w:pStyle w:val="Tableautetiere"/>
            </w:pPr>
            <w:r w:rsidRPr="005A13A0">
              <w:t>Instrument</w:t>
            </w:r>
          </w:p>
        </w:tc>
        <w:tc>
          <w:tcPr>
            <w:tcW w:w="6858" w:type="dxa"/>
          </w:tcPr>
          <w:p w:rsidR="00631AB0" w:rsidRPr="005A13A0" w:rsidRDefault="00631AB0" w:rsidP="00C963A9">
            <w:pPr>
              <w:pStyle w:val="Tableautetiere"/>
            </w:pPr>
            <w:r w:rsidRPr="005A13A0">
              <w:t>Technique</w:t>
            </w:r>
          </w:p>
        </w:tc>
      </w:tr>
      <w:tr w:rsidR="00631AB0" w:rsidRPr="005A13A0" w:rsidTr="009D69AB">
        <w:tc>
          <w:tcPr>
            <w:tcW w:w="3485" w:type="dxa"/>
          </w:tcPr>
          <w:p w:rsidR="00631AB0" w:rsidRPr="005A13A0" w:rsidRDefault="00631AB0" w:rsidP="00C963A9">
            <w:pPr>
              <w:pStyle w:val="Tableaucourant"/>
            </w:pPr>
            <w:r w:rsidRPr="005A13A0">
              <w:t>Encaissement documentaire</w:t>
            </w:r>
          </w:p>
        </w:tc>
        <w:tc>
          <w:tcPr>
            <w:tcW w:w="6858" w:type="dxa"/>
          </w:tcPr>
          <w:p w:rsidR="00631AB0" w:rsidRPr="005A13A0" w:rsidRDefault="00631AB0" w:rsidP="00C963A9">
            <w:pPr>
              <w:pStyle w:val="Tableaucourant"/>
            </w:pPr>
            <w:r w:rsidRPr="005A13A0">
              <w:t>Après l’envoi des biens, le vendeur transmet les documents (i</w:t>
            </w:r>
            <w:r w:rsidRPr="005A13A0">
              <w:t>n</w:t>
            </w:r>
            <w:r w:rsidRPr="005A13A0">
              <w:t>cluant une lettre de change) à la banque de l’acheteur, en l’avisant de livrer les marchandises à ce dernier une fois le paiement versé (ou une fois qu’il a promis de payer à une date précise).</w:t>
            </w:r>
          </w:p>
        </w:tc>
      </w:tr>
      <w:tr w:rsidR="00631AB0" w:rsidRPr="005A13A0" w:rsidTr="009D69AB">
        <w:tc>
          <w:tcPr>
            <w:tcW w:w="3485" w:type="dxa"/>
          </w:tcPr>
          <w:p w:rsidR="00631AB0" w:rsidRPr="005A13A0" w:rsidRDefault="00631AB0" w:rsidP="00C963A9">
            <w:pPr>
              <w:pStyle w:val="Tableaucourant"/>
            </w:pPr>
            <w:r w:rsidRPr="005A13A0">
              <w:t>Crédit documentaire</w:t>
            </w:r>
          </w:p>
        </w:tc>
        <w:tc>
          <w:tcPr>
            <w:tcW w:w="6858" w:type="dxa"/>
          </w:tcPr>
          <w:p w:rsidR="00631AB0" w:rsidRPr="005A13A0" w:rsidRDefault="00631AB0" w:rsidP="00C963A9">
            <w:pPr>
              <w:pStyle w:val="Tableaucourant"/>
            </w:pPr>
            <w:r w:rsidRPr="005A13A0">
              <w:t>Il s’agit de l’engagement d’une banque à payer un montant déterminé au fournisseur d’une marchandise ou d’une prest</w:t>
            </w:r>
            <w:r w:rsidRPr="005A13A0">
              <w:t>a</w:t>
            </w:r>
            <w:r w:rsidRPr="005A13A0">
              <w:t>tion, contre remise, dans un délai fixé, de documents conformes prouvant que la marchandise a été expédiée ou la prestation effectuée.</w:t>
            </w:r>
          </w:p>
          <w:p w:rsidR="00631AB0" w:rsidRPr="005A13A0" w:rsidRDefault="00631AB0" w:rsidP="00C963A9">
            <w:pPr>
              <w:pStyle w:val="Tableaucourant"/>
            </w:pPr>
            <w:r w:rsidRPr="005A13A0">
              <w:t>Le crédit documentaire peut-être « irrévocable » ou « irrévocable et confirmé ».</w:t>
            </w:r>
          </w:p>
        </w:tc>
      </w:tr>
      <w:tr w:rsidR="00631AB0" w:rsidRPr="005A13A0" w:rsidTr="009D69AB">
        <w:tc>
          <w:tcPr>
            <w:tcW w:w="3485" w:type="dxa"/>
          </w:tcPr>
          <w:p w:rsidR="00631AB0" w:rsidRPr="005A13A0" w:rsidRDefault="00631AB0" w:rsidP="00C963A9">
            <w:pPr>
              <w:pStyle w:val="Tableaucourant"/>
            </w:pPr>
            <w:r w:rsidRPr="005A13A0">
              <w:t>Remise documentaire</w:t>
            </w:r>
          </w:p>
        </w:tc>
        <w:tc>
          <w:tcPr>
            <w:tcW w:w="6858" w:type="dxa"/>
          </w:tcPr>
          <w:p w:rsidR="00631AB0" w:rsidRPr="005A13A0" w:rsidRDefault="00631AB0" w:rsidP="00C963A9">
            <w:pPr>
              <w:pStyle w:val="Tableaucourant"/>
            </w:pPr>
            <w:r w:rsidRPr="005A13A0">
              <w:t>La banque de l’exportateur est mandatée pour recueillir le règl</w:t>
            </w:r>
            <w:r w:rsidRPr="005A13A0">
              <w:t>e</w:t>
            </w:r>
            <w:r w:rsidRPr="005A13A0">
              <w:t>ment ou l’acceptation de paiement par traite de l’acheteur au moment de la présentation des documents qui permettent de réce</w:t>
            </w:r>
            <w:r w:rsidRPr="005A13A0">
              <w:t>p</w:t>
            </w:r>
            <w:r w:rsidRPr="005A13A0">
              <w:t>tionner la marchandise. Cette technique n’apporte pas de garantie sur la solvabilité de l’acheteur.</w:t>
            </w:r>
          </w:p>
        </w:tc>
      </w:tr>
      <w:tr w:rsidR="00631AB0" w:rsidRPr="005A13A0" w:rsidTr="009D69AB">
        <w:tc>
          <w:tcPr>
            <w:tcW w:w="3485" w:type="dxa"/>
          </w:tcPr>
          <w:p w:rsidR="00631AB0" w:rsidRPr="005A13A0" w:rsidRDefault="00631AB0" w:rsidP="00C963A9">
            <w:pPr>
              <w:pStyle w:val="Tableaucourant"/>
            </w:pPr>
            <w:r w:rsidRPr="005A13A0">
              <w:t>Lettre de crédit stand-by (SLBC)</w:t>
            </w:r>
          </w:p>
        </w:tc>
        <w:tc>
          <w:tcPr>
            <w:tcW w:w="6858" w:type="dxa"/>
          </w:tcPr>
          <w:p w:rsidR="00631AB0" w:rsidRPr="005A13A0" w:rsidRDefault="00631AB0" w:rsidP="00C963A9">
            <w:pPr>
              <w:pStyle w:val="Tableaucourant"/>
            </w:pPr>
            <w:r w:rsidRPr="005A13A0">
              <w:t>Engagement irrévocable d’une banque d’indemniser son bénéf</w:t>
            </w:r>
            <w:r w:rsidRPr="005A13A0">
              <w:t>i</w:t>
            </w:r>
            <w:r w:rsidRPr="005A13A0">
              <w:t>ciaire, en cas de défaillance du donneur d’ordre. Elle est régie par les règles fixées par la Chambre de commerce internationale.</w:t>
            </w:r>
          </w:p>
        </w:tc>
      </w:tr>
      <w:tr w:rsidR="00631AB0" w:rsidRPr="005A13A0" w:rsidTr="009D69AB">
        <w:tc>
          <w:tcPr>
            <w:tcW w:w="3485" w:type="dxa"/>
          </w:tcPr>
          <w:p w:rsidR="00631AB0" w:rsidRPr="005A13A0" w:rsidRDefault="00631AB0" w:rsidP="00C963A9">
            <w:pPr>
              <w:pStyle w:val="Tableaucourant"/>
            </w:pPr>
            <w:r w:rsidRPr="005A13A0">
              <w:t>Obligation bancaire de paiement (BPO)</w:t>
            </w:r>
          </w:p>
        </w:tc>
        <w:tc>
          <w:tcPr>
            <w:tcW w:w="6858" w:type="dxa"/>
          </w:tcPr>
          <w:p w:rsidR="00631AB0" w:rsidRPr="005A13A0" w:rsidRDefault="00631AB0" w:rsidP="00C963A9">
            <w:pPr>
              <w:pStyle w:val="Tableaucourant"/>
            </w:pPr>
            <w:r w:rsidRPr="005A13A0">
              <w:t>Technique de paiement récente, il s’agit d’un engagement irrévocable donné par une banque à une autre banque d’effectuer un paiement à une date donnée suite à un fait générateur. Ce fait g</w:t>
            </w:r>
            <w:r w:rsidRPr="005A13A0">
              <w:t>é</w:t>
            </w:r>
            <w:r w:rsidRPr="005A13A0">
              <w:t>nérateur est avéré si, et seulement si, le rapprochement électr</w:t>
            </w:r>
            <w:r w:rsidRPr="005A13A0">
              <w:t>o</w:t>
            </w:r>
            <w:r w:rsidRPr="005A13A0">
              <w:t>nique de données réalisé par le Swift TSU (Trade Services Utility) ou une application technique équivalente aboutit avec succès.</w:t>
            </w:r>
          </w:p>
        </w:tc>
      </w:tr>
    </w:tbl>
    <w:p w:rsidR="00631AB0" w:rsidRPr="005A13A0" w:rsidRDefault="00631AB0" w:rsidP="00862BB8">
      <w:pPr>
        <w:pStyle w:val="05MissionTitre"/>
      </w:pPr>
      <w:r w:rsidRPr="005A13A0">
        <w:t>III</w:t>
      </w:r>
      <w:r w:rsidRPr="005A13A0">
        <w:tab/>
        <w:t>Les incoterms : la couverture des risques transport</w:t>
      </w:r>
    </w:p>
    <w:p w:rsidR="00631AB0" w:rsidRPr="005A13A0" w:rsidRDefault="00631AB0" w:rsidP="00862BB8">
      <w:pPr>
        <w:pStyle w:val="TTextecourant"/>
      </w:pPr>
      <w:r w:rsidRPr="005A13A0">
        <w:t>Les Incoterms déterminent les obligations réciproques (coûts et risques) du vendeur et de l'acheteur dans le cadre d'un contrat d'achat/vente international. Il s’agit d’une norme admise dans le monde entier. Les incoterms font l’objet d’une précision particulière lors de l’élaboration du contrat.</w:t>
      </w:r>
    </w:p>
    <w:p w:rsidR="00631AB0" w:rsidRPr="005A13A0" w:rsidRDefault="00631AB0" w:rsidP="00862BB8">
      <w:pPr>
        <w:pStyle w:val="TTextecourant"/>
      </w:pPr>
      <w:r w:rsidRPr="005A13A0">
        <w:lastRenderedPageBreak/>
        <w:t>Le choix de l’incoterm fait partie de la négociation commerciale. Il se définit en fonction des capacités d’organisation de l’entreprise, du moyen de transport utilisé, du niveau de service qu’elle souhaite appo</w:t>
      </w:r>
      <w:r w:rsidRPr="005A13A0">
        <w:t>r</w:t>
      </w:r>
      <w:r w:rsidRPr="005A13A0">
        <w:t>ter à son client ou avoir de son fournisseur. L’incoterm choisi doit être adapté aussi bien aux marcha</w:t>
      </w:r>
      <w:r w:rsidRPr="005A13A0">
        <w:t>n</w:t>
      </w:r>
      <w:r w:rsidRPr="005A13A0">
        <w:t>dises à expédier qu’au mode de transport à utiliser.</w:t>
      </w:r>
    </w:p>
    <w:p w:rsidR="00631AB0" w:rsidRPr="005A13A0" w:rsidRDefault="00631AB0" w:rsidP="00862BB8">
      <w:pPr>
        <w:pStyle w:val="05MissionTitre"/>
      </w:pPr>
      <w:r w:rsidRPr="005A13A0">
        <w:t>IV</w:t>
      </w:r>
      <w:r w:rsidRPr="005A13A0">
        <w:tab/>
        <w:t>Les aides et financements</w:t>
      </w:r>
    </w:p>
    <w:p w:rsidR="00631AB0" w:rsidRPr="005A13A0" w:rsidRDefault="00631AB0" w:rsidP="00862BB8">
      <w:pPr>
        <w:pStyle w:val="TTextecourant"/>
      </w:pPr>
      <w:r w:rsidRPr="005A13A0">
        <w:t xml:space="preserve">Les sociétés habilitées à bénéficier des aides et financements à l’export sont principalement les petites et </w:t>
      </w:r>
      <w:proofErr w:type="gramStart"/>
      <w:r w:rsidRPr="005A13A0">
        <w:t>moyennes</w:t>
      </w:r>
      <w:proofErr w:type="gramEnd"/>
      <w:r w:rsidRPr="005A13A0">
        <w:t xml:space="preserve"> entreprises. Elles peuvent profiter d’investissements destinés à l’export, de garanties de fina</w:t>
      </w:r>
      <w:r w:rsidRPr="005A13A0">
        <w:t>n</w:t>
      </w:r>
      <w:r w:rsidRPr="005A13A0">
        <w:t>cement, de prêts pour export (PPE), de contrats de développement international, de contrats de dévelo</w:t>
      </w:r>
      <w:r w:rsidRPr="005A13A0">
        <w:t>p</w:t>
      </w:r>
      <w:r w:rsidRPr="005A13A0">
        <w:t>pement participatif, de garantie des cautions bancaires sur les marchés exports, etc.</w:t>
      </w:r>
    </w:p>
    <w:p w:rsidR="00806FB8" w:rsidRPr="00631AB0" w:rsidRDefault="00631AB0" w:rsidP="00862BB8">
      <w:pPr>
        <w:pStyle w:val="TTextecourant"/>
      </w:pPr>
      <w:r w:rsidRPr="005A13A0">
        <w:t xml:space="preserve">Leurs interlocuteurs privilégiés : </w:t>
      </w:r>
      <w:proofErr w:type="spellStart"/>
      <w:r w:rsidRPr="005A13A0">
        <w:t>Ubifrance</w:t>
      </w:r>
      <w:proofErr w:type="spellEnd"/>
      <w:r w:rsidRPr="005A13A0">
        <w:t>, CCI et Coface.</w:t>
      </w:r>
    </w:p>
    <w:sectPr w:rsidR="00806FB8" w:rsidRPr="00631AB0" w:rsidSect="004016EA">
      <w:footerReference w:type="even" r:id="rId9"/>
      <w:footerReference w:type="default" r:id="rId10"/>
      <w:pgSz w:w="11907" w:h="16839" w:code="9"/>
      <w:pgMar w:top="782" w:right="1021" w:bottom="919" w:left="680" w:header="0" w:footer="425" w:gutter="0"/>
      <w:cols w:space="72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25AC9" w:rsidRDefault="00025AC9" w:rsidP="004016EA">
      <w:r>
        <w:separator/>
      </w:r>
    </w:p>
  </w:endnote>
  <w:endnote w:type="continuationSeparator" w:id="0">
    <w:p w:rsidR="00025AC9" w:rsidRDefault="00025AC9" w:rsidP="004016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uide Pedago Times">
    <w:panose1 w:val="02000503000000020004"/>
    <w:charset w:val="00"/>
    <w:family w:val="modern"/>
    <w:notTrueType/>
    <w:pitch w:val="variable"/>
    <w:sig w:usb0="800000AF" w:usb1="1000204A" w:usb2="00000000" w:usb3="00000000" w:csb0="00000001" w:csb1="00000000"/>
  </w:font>
  <w:font w:name="Times-Roman">
    <w:altName w:val="Times New Roman"/>
    <w:panose1 w:val="00000000000000000000"/>
    <w:charset w:val="00"/>
    <w:family w:val="roman"/>
    <w:notTrueType/>
    <w:pitch w:val="default"/>
    <w:sig w:usb0="00000003" w:usb1="00000000" w:usb2="00000000" w:usb3="00000000" w:csb0="00000001" w:csb1="00000000"/>
  </w:font>
  <w:font w:name="GuidePedagoArial">
    <w:altName w:val="Guide Pedago Arial"/>
    <w:panose1 w:val="00000000000000000000"/>
    <w:charset w:val="4D"/>
    <w:family w:val="auto"/>
    <w:notTrueType/>
    <w:pitch w:val="default"/>
    <w:sig w:usb0="00000003" w:usb1="00000000" w:usb2="00000000" w:usb3="00000000" w:csb0="00000001" w:csb1="00000000"/>
  </w:font>
  <w:font w:name="GuidePedagoNCond">
    <w:altName w:val="Guide Pedago NCond"/>
    <w:panose1 w:val="00000000000000000000"/>
    <w:charset w:val="4D"/>
    <w:family w:val="auto"/>
    <w:notTrueType/>
    <w:pitch w:val="default"/>
    <w:sig w:usb0="00000003" w:usb1="00000000" w:usb2="00000000" w:usb3="00000000" w:csb0="00000001" w:csb1="00000000"/>
  </w:font>
  <w:font w:name="GuidePedagoTimes">
    <w:altName w:val="Guide Pedago Times"/>
    <w:panose1 w:val="02000503000000020004"/>
    <w:charset w:val="4D"/>
    <w:family w:val="auto"/>
    <w:notTrueType/>
    <w:pitch w:val="default"/>
    <w:sig w:usb0="00000003" w:usb1="00000000" w:usb2="00000000" w:usb3="00000000" w:csb0="00000001" w:csb1="00000000"/>
  </w:font>
  <w:font w:name="GuidePedagoTimes-Bold">
    <w:altName w:val="Guide Pedago Times"/>
    <w:panose1 w:val="00000000000000000000"/>
    <w:charset w:val="4D"/>
    <w:family w:val="auto"/>
    <w:notTrueType/>
    <w:pitch w:val="default"/>
    <w:sig w:usb0="00000003" w:usb1="00000000" w:usb2="00000000" w:usb3="00000000" w:csb0="00000001" w:csb1="00000000"/>
  </w:font>
  <w:font w:name="GuidePedagoNCond-Italic">
    <w:altName w:val="Guide Pedago NCond"/>
    <w:panose1 w:val="00000000000000000000"/>
    <w:charset w:val="4D"/>
    <w:family w:val="auto"/>
    <w:notTrueType/>
    <w:pitch w:val="default"/>
    <w:sig w:usb0="00000003" w:usb1="00000000" w:usb2="00000000" w:usb3="00000000" w:csb0="00000001" w:csb1="00000000"/>
  </w:font>
  <w:font w:name="GuidePedagoNCond-Bold">
    <w:altName w:val="Guide Pedago NCond"/>
    <w:panose1 w:val="00000000000000000000"/>
    <w:charset w:val="4D"/>
    <w:family w:val="auto"/>
    <w:notTrueType/>
    <w:pitch w:val="default"/>
    <w:sig w:usb0="00000003" w:usb1="00000000" w:usb2="00000000" w:usb3="00000000" w:csb0="00000001" w:csb1="00000000"/>
  </w:font>
  <w:font w:name="Guide Pedago NCond">
    <w:panose1 w:val="00000000000000000000"/>
    <w:charset w:val="00"/>
    <w:family w:val="swiss"/>
    <w:notTrueType/>
    <w:pitch w:val="variable"/>
    <w:sig w:usb0="800000AF" w:usb1="4000204A" w:usb2="00000000" w:usb3="00000000" w:csb0="00000011" w:csb1="00000000"/>
  </w:font>
  <w:font w:name="Tahoma">
    <w:panose1 w:val="020B0604030504040204"/>
    <w:charset w:val="00"/>
    <w:family w:val="swiss"/>
    <w:pitch w:val="variable"/>
    <w:sig w:usb0="E1002EFF" w:usb1="C000605B" w:usb2="00000029" w:usb3="00000000" w:csb0="000101FF" w:csb1="00000000"/>
  </w:font>
  <w:font w:name="Guide Pedago Arial">
    <w:panose1 w:val="00000000000000000000"/>
    <w:charset w:val="00"/>
    <w:family w:val="swiss"/>
    <w:notTrueType/>
    <w:pitch w:val="variable"/>
    <w:sig w:usb0="800000AF" w:usb1="4000204A" w:usb2="00000000" w:usb3="00000000" w:csb0="00000011"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Pr="004016EA" w:rsidRDefault="006C0120" w:rsidP="00264225">
    <w:pPr>
      <w:pStyle w:val="Pieddepagegauche"/>
      <w:tabs>
        <w:tab w:val="clear" w:pos="7340"/>
        <w:tab w:val="right" w:pos="10206"/>
      </w:tabs>
      <w:rPr>
        <w:w w:val="100"/>
      </w:rPr>
    </w:pPr>
    <w:r>
      <w:rPr>
        <w:rStyle w:val="Folio"/>
        <w:b/>
        <w:bCs/>
      </w:rPr>
      <w:fldChar w:fldCharType="begin"/>
    </w:r>
    <w:r w:rsidR="004016EA">
      <w:rPr>
        <w:rStyle w:val="Folio"/>
        <w:b/>
        <w:bCs/>
      </w:rPr>
      <w:instrText xml:space="preserve"> PAGE </w:instrText>
    </w:r>
    <w:r>
      <w:rPr>
        <w:rStyle w:val="Folio"/>
        <w:b/>
        <w:bCs/>
      </w:rPr>
      <w:fldChar w:fldCharType="separate"/>
    </w:r>
    <w:r w:rsidR="00264225">
      <w:rPr>
        <w:rStyle w:val="Folio"/>
        <w:b/>
        <w:bCs/>
        <w:noProof/>
      </w:rPr>
      <w:t>2</w:t>
    </w:r>
    <w:r>
      <w:rPr>
        <w:rStyle w:val="Folio"/>
        <w:b/>
        <w:bCs/>
      </w:rPr>
      <w:fldChar w:fldCharType="end"/>
    </w:r>
    <w:r w:rsidR="004016EA">
      <w:rPr>
        <w:rStyle w:val="Folio"/>
        <w:b/>
        <w:bCs/>
      </w:rPr>
      <w:t xml:space="preserve">  </w:t>
    </w:r>
    <w:r w:rsidR="004016EA">
      <w:rPr>
        <w:w w:val="100"/>
      </w:rPr>
      <w:tab/>
    </w:r>
    <w:r w:rsidR="00264225">
      <w:rPr>
        <w:w w:val="100"/>
      </w:rPr>
      <w:t xml:space="preserve">Situation professionnelle </w:t>
    </w:r>
    <w:proofErr w:type="spellStart"/>
    <w:r w:rsidR="00264225">
      <w:rPr>
        <w:w w:val="100"/>
      </w:rPr>
      <w:t>Galetezenn</w:t>
    </w:r>
    <w:proofErr w:type="spell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016EA" w:rsidRDefault="004016EA" w:rsidP="00C20988">
    <w:pPr>
      <w:pStyle w:val="Pieddepagedroite"/>
    </w:pPr>
    <w:r>
      <w:rPr>
        <w:rStyle w:val="Bold"/>
      </w:rPr>
      <w:t>Chapitre </w:t>
    </w:r>
    <w:r w:rsidR="00264225">
      <w:rPr>
        <w:rStyle w:val="Bold"/>
      </w:rPr>
      <w:t>18</w:t>
    </w:r>
    <w:r>
      <w:rPr>
        <w:rStyle w:val="Bold"/>
      </w:rPr>
      <w:t xml:space="preserve"> </w:t>
    </w:r>
    <w:r w:rsidR="00264225">
      <w:t>–</w:t>
    </w:r>
    <w:r>
      <w:t xml:space="preserve"> </w:t>
    </w:r>
    <w:r w:rsidR="00264225" w:rsidRPr="005A13A0">
      <w:t>Évaluation et suivi des risques liés aux échanges internationaux</w:t>
    </w:r>
    <w:r>
      <w:tab/>
    </w:r>
    <w:r w:rsidR="006C0120">
      <w:rPr>
        <w:rStyle w:val="Folio"/>
      </w:rPr>
      <w:fldChar w:fldCharType="begin"/>
    </w:r>
    <w:r>
      <w:rPr>
        <w:rStyle w:val="Folio"/>
      </w:rPr>
      <w:instrText xml:space="preserve"> PAGE </w:instrText>
    </w:r>
    <w:r w:rsidR="006C0120">
      <w:rPr>
        <w:rStyle w:val="Folio"/>
      </w:rPr>
      <w:fldChar w:fldCharType="separate"/>
    </w:r>
    <w:r w:rsidR="00264225">
      <w:rPr>
        <w:rStyle w:val="Folio"/>
        <w:noProof/>
      </w:rPr>
      <w:t>1</w:t>
    </w:r>
    <w:r w:rsidR="006C0120">
      <w:rPr>
        <w:rStyle w:val="Folio"/>
      </w:rPr>
      <w:fldChar w:fldCharType="end"/>
    </w:r>
    <w:r>
      <w:rPr>
        <w:rStyle w:val="Folio"/>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25AC9" w:rsidRDefault="00025AC9" w:rsidP="004016EA">
      <w:r>
        <w:separator/>
      </w:r>
    </w:p>
  </w:footnote>
  <w:footnote w:type="continuationSeparator" w:id="0">
    <w:p w:rsidR="00025AC9" w:rsidRDefault="00025AC9" w:rsidP="004016EA">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E25F6C"/>
    <w:multiLevelType w:val="hybridMultilevel"/>
    <w:tmpl w:val="C3C01886"/>
    <w:lvl w:ilvl="0" w:tplc="72882C5A">
      <w:start w:val="1"/>
      <w:numFmt w:val="bullet"/>
      <w:pStyle w:val="Tableaulistepuce"/>
      <w:lvlText w:val=""/>
      <w:lvlJc w:val="left"/>
      <w:pPr>
        <w:tabs>
          <w:tab w:val="num" w:pos="57"/>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
    <w:nsid w:val="109732F8"/>
    <w:multiLevelType w:val="hybridMultilevel"/>
    <w:tmpl w:val="1BD2BBAC"/>
    <w:lvl w:ilvl="0" w:tplc="BFA00F16">
      <w:start w:val="1"/>
      <w:numFmt w:val="bullet"/>
      <w:pStyle w:val="Tableauliste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
    <w:nsid w:val="18A765E1"/>
    <w:multiLevelType w:val="multilevel"/>
    <w:tmpl w:val="17F694A4"/>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nsid w:val="1D1D1FBF"/>
    <w:multiLevelType w:val="hybridMultilevel"/>
    <w:tmpl w:val="46F46232"/>
    <w:lvl w:ilvl="0" w:tplc="2B1A10A0">
      <w:start w:val="1"/>
      <w:numFmt w:val="bullet"/>
      <w:pStyle w:val="TEnumpoint"/>
      <w:lvlText w:val="·"/>
      <w:lvlJc w:val="left"/>
      <w:pPr>
        <w:tabs>
          <w:tab w:val="num" w:pos="170"/>
        </w:tabs>
      </w:pPr>
      <w:rPr>
        <w:rFonts w:ascii="Guide Pedago Times" w:hAnsi="Guide Pedago Times"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4">
    <w:nsid w:val="27785785"/>
    <w:multiLevelType w:val="multilevel"/>
    <w:tmpl w:val="210406F6"/>
    <w:lvl w:ilvl="0">
      <w:start w:val="1"/>
      <w:numFmt w:val="bullet"/>
      <w:lvlText w:val="-"/>
      <w:lvlJc w:val="left"/>
      <w:pPr>
        <w:tabs>
          <w:tab w:val="num" w:pos="170"/>
        </w:tabs>
        <w:ind w:left="170" w:hanging="170"/>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
    <w:nsid w:val="44262800"/>
    <w:multiLevelType w:val="multilevel"/>
    <w:tmpl w:val="3F3C4ED0"/>
    <w:lvl w:ilvl="0">
      <w:start w:val="1"/>
      <w:numFmt w:val="bullet"/>
      <w:lvlText w:val="-"/>
      <w:lvlJc w:val="left"/>
      <w:pPr>
        <w:tabs>
          <w:tab w:val="num" w:pos="113"/>
        </w:tabs>
        <w:ind w:left="113"/>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6">
    <w:nsid w:val="47ED1AE9"/>
    <w:multiLevelType w:val="multilevel"/>
    <w:tmpl w:val="292E2590"/>
    <w:lvl w:ilvl="0">
      <w:start w:val="1"/>
      <w:numFmt w:val="bullet"/>
      <w:lvlText w:val="-"/>
      <w:lvlJc w:val="left"/>
      <w:pPr>
        <w:tabs>
          <w:tab w:val="num" w:pos="113"/>
        </w:tabs>
        <w:ind w:left="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nsid w:val="572E3DD3"/>
    <w:multiLevelType w:val="multilevel"/>
    <w:tmpl w:val="911ED404"/>
    <w:lvl w:ilvl="0">
      <w:start w:val="1"/>
      <w:numFmt w:val="bullet"/>
      <w:lvlText w:val="-"/>
      <w:lvlJc w:val="left"/>
      <w:pPr>
        <w:tabs>
          <w:tab w:val="num" w:pos="113"/>
        </w:tabs>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nsid w:val="67D70143"/>
    <w:multiLevelType w:val="hybridMultilevel"/>
    <w:tmpl w:val="4E601BC2"/>
    <w:lvl w:ilvl="0" w:tplc="8FB0FBBA">
      <w:start w:val="1"/>
      <w:numFmt w:val="bullet"/>
      <w:pStyle w:val="TEnumpuce"/>
      <w:lvlText w:val=""/>
      <w:lvlJc w:val="left"/>
      <w:pPr>
        <w:tabs>
          <w:tab w:val="num" w:pos="170"/>
        </w:tabs>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9">
    <w:nsid w:val="6E2B2D18"/>
    <w:multiLevelType w:val="multilevel"/>
    <w:tmpl w:val="7DD60C5E"/>
    <w:lvl w:ilvl="0">
      <w:start w:val="1"/>
      <w:numFmt w:val="bullet"/>
      <w:lvlText w:val="-"/>
      <w:lvlJc w:val="left"/>
      <w:pPr>
        <w:tabs>
          <w:tab w:val="num" w:pos="227"/>
        </w:tabs>
        <w:ind w:left="227" w:hanging="227"/>
      </w:pPr>
      <w:rPr>
        <w:rFonts w:ascii="Courier New" w:hAnsi="Courier New" w:hint="default"/>
        <w:b w:val="0"/>
        <w:i w:val="0"/>
        <w:sz w:val="18"/>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nsid w:val="73D21D68"/>
    <w:multiLevelType w:val="hybridMultilevel"/>
    <w:tmpl w:val="8722AAE2"/>
    <w:lvl w:ilvl="0" w:tplc="5B0AF126">
      <w:start w:val="1"/>
      <w:numFmt w:val="bullet"/>
      <w:pStyle w:val="09Commentaireliste"/>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1">
    <w:nsid w:val="7EDD3EA4"/>
    <w:multiLevelType w:val="hybridMultilevel"/>
    <w:tmpl w:val="911ED404"/>
    <w:lvl w:ilvl="0" w:tplc="A9FC94E8">
      <w:start w:val="1"/>
      <w:numFmt w:val="bullet"/>
      <w:pStyle w:val="TEnumtiret"/>
      <w:lvlText w:val="-"/>
      <w:lvlJc w:val="left"/>
      <w:pPr>
        <w:tabs>
          <w:tab w:val="num" w:pos="113"/>
        </w:tabs>
      </w:pPr>
      <w:rPr>
        <w:rFonts w:ascii="Courier New" w:hAnsi="Courier New" w:hint="default"/>
        <w:b w:val="0"/>
        <w:i w:val="0"/>
        <w:sz w:val="18"/>
      </w:rPr>
    </w:lvl>
    <w:lvl w:ilvl="1" w:tplc="040C0003" w:tentative="1">
      <w:start w:val="1"/>
      <w:numFmt w:val="bullet"/>
      <w:lvlText w:val="o"/>
      <w:lvlJc w:val="left"/>
      <w:pPr>
        <w:tabs>
          <w:tab w:val="num" w:pos="1440"/>
        </w:tabs>
        <w:ind w:left="1440" w:hanging="360"/>
      </w:pPr>
      <w:rPr>
        <w:rFonts w:ascii="Courier New" w:hAnsi="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1"/>
  </w:num>
  <w:num w:numId="4">
    <w:abstractNumId w:val="5"/>
  </w:num>
  <w:num w:numId="5">
    <w:abstractNumId w:val="6"/>
  </w:num>
  <w:num w:numId="6">
    <w:abstractNumId w:val="9"/>
  </w:num>
  <w:num w:numId="7">
    <w:abstractNumId w:val="4"/>
  </w:num>
  <w:num w:numId="8">
    <w:abstractNumId w:val="10"/>
  </w:num>
  <w:num w:numId="9">
    <w:abstractNumId w:val="8"/>
  </w:num>
  <w:num w:numId="10">
    <w:abstractNumId w:val="11"/>
  </w:num>
  <w:num w:numId="11">
    <w:abstractNumId w:val="3"/>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embedSystemFonts/>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autoHyphenation/>
  <w:hyphenationZone w:val="425"/>
  <w:evenAndOddHeaders/>
  <w:drawingGridHorizontalSpacing w:val="120"/>
  <w:drawingGridVerticalSpacing w:val="120"/>
  <w:displayHorizontalDrawingGridEvery w:val="0"/>
  <w:displayVerticalDrawingGridEvery w:val="3"/>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57766"/>
    <w:rsid w:val="000200B9"/>
    <w:rsid w:val="00025AC9"/>
    <w:rsid w:val="00051CC9"/>
    <w:rsid w:val="00054C34"/>
    <w:rsid w:val="00085F4D"/>
    <w:rsid w:val="000A31BA"/>
    <w:rsid w:val="000A66E0"/>
    <w:rsid w:val="00151A6E"/>
    <w:rsid w:val="001A0B80"/>
    <w:rsid w:val="0024646B"/>
    <w:rsid w:val="00257766"/>
    <w:rsid w:val="00264225"/>
    <w:rsid w:val="0030498C"/>
    <w:rsid w:val="00324F73"/>
    <w:rsid w:val="00394FED"/>
    <w:rsid w:val="003A6641"/>
    <w:rsid w:val="004016EA"/>
    <w:rsid w:val="004A1FB0"/>
    <w:rsid w:val="004E20A9"/>
    <w:rsid w:val="004E2AD9"/>
    <w:rsid w:val="00631AB0"/>
    <w:rsid w:val="006B172B"/>
    <w:rsid w:val="006B7D00"/>
    <w:rsid w:val="006C0120"/>
    <w:rsid w:val="00722537"/>
    <w:rsid w:val="00757BA2"/>
    <w:rsid w:val="007763D4"/>
    <w:rsid w:val="0079080C"/>
    <w:rsid w:val="00806FB8"/>
    <w:rsid w:val="00810809"/>
    <w:rsid w:val="008554DD"/>
    <w:rsid w:val="00862BB8"/>
    <w:rsid w:val="009215F2"/>
    <w:rsid w:val="009C3943"/>
    <w:rsid w:val="009C7BAC"/>
    <w:rsid w:val="00AD6532"/>
    <w:rsid w:val="00B81F3B"/>
    <w:rsid w:val="00BD34C9"/>
    <w:rsid w:val="00BF47D4"/>
    <w:rsid w:val="00C02E8D"/>
    <w:rsid w:val="00C20988"/>
    <w:rsid w:val="00C37BCE"/>
    <w:rsid w:val="00C963A9"/>
    <w:rsid w:val="00CF04A9"/>
    <w:rsid w:val="00CF17D4"/>
    <w:rsid w:val="00D1160A"/>
    <w:rsid w:val="00EE26B7"/>
    <w:rsid w:val="00EE3A58"/>
    <w:rsid w:val="00F030C4"/>
    <w:rsid w:val="00F45FE9"/>
    <w:rsid w:val="00F80B95"/>
    <w:rsid w:val="00FD274E"/>
    <w:rsid w:val="00FE12E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631AB0"/>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fr-FR" w:eastAsia="fr-FR" w:bidi="ar-SA"/>
      </w:rPr>
    </w:rPrDefault>
    <w:pPrDefault>
      <w:pPr>
        <w:spacing w:after="200" w:line="23"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F17D4"/>
    <w:pPr>
      <w:spacing w:after="0" w:line="240" w:lineRule="auto"/>
    </w:pPr>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ucunstyledeparagraphe">
    <w:name w:val="[Aucun style de paragraphe]"/>
    <w:uiPriority w:val="99"/>
    <w:rsid w:val="00394FED"/>
    <w:pPr>
      <w:widowControl w:val="0"/>
      <w:autoSpaceDE w:val="0"/>
      <w:autoSpaceDN w:val="0"/>
      <w:adjustRightInd w:val="0"/>
      <w:spacing w:after="0" w:line="288" w:lineRule="auto"/>
      <w:textAlignment w:val="center"/>
    </w:pPr>
    <w:rPr>
      <w:rFonts w:ascii="Times-Roman" w:hAnsi="Times-Roman" w:cs="Times-Roman"/>
      <w:color w:val="000000"/>
      <w:sz w:val="24"/>
      <w:szCs w:val="24"/>
    </w:rPr>
  </w:style>
  <w:style w:type="paragraph" w:customStyle="1" w:styleId="00Chaptitre">
    <w:name w:val="00_Chap_titre"/>
    <w:basedOn w:val="Aucunstyledeparagraphe"/>
    <w:uiPriority w:val="99"/>
    <w:rsid w:val="00394FED"/>
    <w:pPr>
      <w:keepNext/>
      <w:keepLines/>
      <w:pageBreakBefore/>
      <w:suppressAutoHyphens/>
      <w:spacing w:after="397" w:line="560" w:lineRule="atLeast"/>
      <w:ind w:left="1417" w:hanging="1417"/>
    </w:pPr>
    <w:rPr>
      <w:rFonts w:ascii="GuidePedagoArial" w:hAnsi="GuidePedagoArial" w:cs="GuidePedagoArial"/>
      <w:sz w:val="48"/>
      <w:szCs w:val="48"/>
    </w:rPr>
  </w:style>
  <w:style w:type="paragraph" w:customStyle="1" w:styleId="02Programmetitre">
    <w:name w:val="02_Programme_titre"/>
    <w:basedOn w:val="Aucunstyledeparagraphe"/>
    <w:uiPriority w:val="99"/>
    <w:rsid w:val="00394FED"/>
    <w:pPr>
      <w:keepNext/>
      <w:keepLines/>
      <w:suppressAutoHyphens/>
      <w:spacing w:before="142" w:line="200" w:lineRule="atLeast"/>
    </w:pPr>
    <w:rPr>
      <w:rFonts w:ascii="GuidePedagoNCond" w:hAnsi="GuidePedagoNCond" w:cs="GuidePedagoNCond"/>
      <w:caps/>
      <w:sz w:val="19"/>
      <w:szCs w:val="19"/>
    </w:rPr>
  </w:style>
  <w:style w:type="paragraph" w:customStyle="1" w:styleId="TTextecourant">
    <w:name w:val="T_Texte_courant"/>
    <w:basedOn w:val="Aucunstyledeparagraphe"/>
    <w:uiPriority w:val="99"/>
    <w:rsid w:val="00394FED"/>
    <w:pPr>
      <w:spacing w:line="260" w:lineRule="atLeast"/>
      <w:jc w:val="both"/>
    </w:pPr>
    <w:rPr>
      <w:rFonts w:ascii="GuidePedagoTimes" w:hAnsi="GuidePedagoTimes" w:cs="GuidePedagoTimes"/>
      <w:sz w:val="22"/>
      <w:szCs w:val="22"/>
    </w:rPr>
  </w:style>
  <w:style w:type="paragraph" w:customStyle="1" w:styleId="Ancrageobjet">
    <w:name w:val="Ancrage_objet"/>
    <w:basedOn w:val="TTextecourant"/>
    <w:uiPriority w:val="99"/>
    <w:rsid w:val="00394FED"/>
    <w:pPr>
      <w:spacing w:before="113" w:after="170" w:line="288" w:lineRule="auto"/>
      <w:jc w:val="center"/>
    </w:pPr>
  </w:style>
  <w:style w:type="paragraph" w:customStyle="1" w:styleId="03Adressesiteprof">
    <w:name w:val="03_Adresse_site_prof"/>
    <w:basedOn w:val="TTextecourant"/>
    <w:next w:val="TTextecourant"/>
    <w:uiPriority w:val="99"/>
    <w:rsid w:val="00CF17D4"/>
    <w:pPr>
      <w:suppressAutoHyphens/>
      <w:spacing w:before="120"/>
      <w:jc w:val="left"/>
    </w:pPr>
    <w:rPr>
      <w:rFonts w:ascii="GuidePedagoTimes-Bold" w:hAnsi="GuidePedagoTimes-Bold" w:cs="GuidePedagoTimes-Bold"/>
      <w:b/>
      <w:bCs/>
    </w:rPr>
  </w:style>
  <w:style w:type="paragraph" w:customStyle="1" w:styleId="08Commentaire">
    <w:name w:val="08_Commentaire"/>
    <w:basedOn w:val="Aucunstyledeparagraphe"/>
    <w:uiPriority w:val="99"/>
    <w:rsid w:val="00394FED"/>
    <w:pPr>
      <w:tabs>
        <w:tab w:val="left" w:pos="280"/>
      </w:tabs>
      <w:spacing w:before="113" w:line="270" w:lineRule="atLeast"/>
      <w:jc w:val="both"/>
    </w:pPr>
    <w:rPr>
      <w:rFonts w:ascii="GuidePedagoNCond-Italic" w:hAnsi="GuidePedagoNCond-Italic" w:cs="GuidePedagoNCond-Italic"/>
      <w:i/>
      <w:iCs/>
      <w:sz w:val="23"/>
      <w:szCs w:val="23"/>
    </w:rPr>
  </w:style>
  <w:style w:type="paragraph" w:customStyle="1" w:styleId="09Commentaireliste">
    <w:name w:val="09_Commentaire_liste"/>
    <w:basedOn w:val="08Commentaire"/>
    <w:uiPriority w:val="99"/>
    <w:rsid w:val="0024646B"/>
    <w:pPr>
      <w:numPr>
        <w:numId w:val="8"/>
      </w:numPr>
      <w:suppressAutoHyphens/>
      <w:spacing w:before="0"/>
    </w:pPr>
  </w:style>
  <w:style w:type="paragraph" w:customStyle="1" w:styleId="04Exercicestitre">
    <w:name w:val="04_Exercices_titre"/>
    <w:basedOn w:val="Aucunstyledeparagraphe"/>
    <w:next w:val="TTextecourant"/>
    <w:uiPriority w:val="99"/>
    <w:rsid w:val="00394FED"/>
    <w:pPr>
      <w:keepNext/>
      <w:keepLines/>
      <w:suppressAutoHyphens/>
      <w:spacing w:before="680" w:line="310" w:lineRule="atLeast"/>
    </w:pPr>
    <w:rPr>
      <w:rFonts w:ascii="GuidePedagoNCond-Bold" w:hAnsi="GuidePedagoNCond-Bold" w:cs="GuidePedagoNCond-Bold"/>
      <w:b/>
      <w:bCs/>
      <w:sz w:val="27"/>
      <w:szCs w:val="27"/>
    </w:rPr>
  </w:style>
  <w:style w:type="paragraph" w:customStyle="1" w:styleId="05MissionTitre">
    <w:name w:val="05_Mission_Titre"/>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z w:val="25"/>
      <w:szCs w:val="25"/>
    </w:rPr>
  </w:style>
  <w:style w:type="paragraph" w:customStyle="1" w:styleId="05ExerciceTitre">
    <w:name w:val="05_Exercice_Titre"/>
    <w:basedOn w:val="Aucunstyledeparagraphe"/>
    <w:uiPriority w:val="99"/>
    <w:rsid w:val="00394FED"/>
    <w:pPr>
      <w:keepNext/>
      <w:keepLines/>
      <w:suppressAutoHyphens/>
      <w:spacing w:before="198" w:after="85" w:line="310" w:lineRule="atLeast"/>
      <w:ind w:left="567" w:hanging="567"/>
    </w:pPr>
    <w:rPr>
      <w:rFonts w:ascii="GuidePedagoNCond" w:hAnsi="GuidePedagoNCond" w:cs="GuidePedagoNCond"/>
      <w:sz w:val="25"/>
      <w:szCs w:val="25"/>
    </w:rPr>
  </w:style>
  <w:style w:type="paragraph" w:customStyle="1" w:styleId="06Questionenonce">
    <w:name w:val="06_Question_enonce"/>
    <w:basedOn w:val="Aucunstyledeparagraphe"/>
    <w:uiPriority w:val="99"/>
    <w:rsid w:val="00394FED"/>
    <w:pPr>
      <w:keepNext/>
      <w:suppressAutoHyphens/>
      <w:spacing w:before="113" w:line="270" w:lineRule="atLeast"/>
      <w:jc w:val="both"/>
    </w:pPr>
    <w:rPr>
      <w:rFonts w:ascii="GuidePedagoTimes-Bold" w:hAnsi="GuidePedagoTimes-Bold" w:cs="GuidePedagoTimes-Bold"/>
      <w:b/>
      <w:bCs/>
      <w:spacing w:val="-1"/>
      <w:sz w:val="23"/>
      <w:szCs w:val="23"/>
    </w:rPr>
  </w:style>
  <w:style w:type="paragraph" w:customStyle="1" w:styleId="Ancrageobjet1col">
    <w:name w:val="Ancrage_objet_1col"/>
    <w:basedOn w:val="Ancrageobjet"/>
    <w:uiPriority w:val="99"/>
    <w:rsid w:val="00394FED"/>
  </w:style>
  <w:style w:type="paragraph" w:customStyle="1" w:styleId="TEnumpuce">
    <w:name w:val="T_Enum_puce"/>
    <w:basedOn w:val="TTextecourant"/>
    <w:next w:val="TTextecourant"/>
    <w:uiPriority w:val="99"/>
    <w:rsid w:val="0024646B"/>
    <w:pPr>
      <w:numPr>
        <w:numId w:val="9"/>
      </w:numPr>
    </w:pPr>
  </w:style>
  <w:style w:type="paragraph" w:customStyle="1" w:styleId="10Versepreuvetitre">
    <w:name w:val="10_Vers_epreuve_titre"/>
    <w:basedOn w:val="Aucunstyledeparagraphe"/>
    <w:next w:val="11Versepreuve"/>
    <w:uiPriority w:val="99"/>
    <w:rsid w:val="00394FED"/>
    <w:pPr>
      <w:keepNext/>
      <w:keepLines/>
      <w:suppressAutoHyphens/>
      <w:spacing w:before="397" w:line="310" w:lineRule="atLeast"/>
    </w:pPr>
    <w:rPr>
      <w:rFonts w:ascii="GuidePedagoNCond" w:hAnsi="GuidePedagoNCond" w:cs="GuidePedagoNCond"/>
      <w:caps/>
      <w:sz w:val="27"/>
      <w:szCs w:val="27"/>
    </w:rPr>
  </w:style>
  <w:style w:type="paragraph" w:customStyle="1" w:styleId="11Versepreuve">
    <w:name w:val="11_Vers_epreuve"/>
    <w:basedOn w:val="Aucunstyledeparagraphe"/>
    <w:next w:val="TTextecourant"/>
    <w:uiPriority w:val="99"/>
    <w:rsid w:val="00394FED"/>
    <w:pPr>
      <w:keepNext/>
      <w:tabs>
        <w:tab w:val="left" w:pos="560"/>
      </w:tabs>
      <w:suppressAutoHyphens/>
      <w:spacing w:before="85" w:after="85" w:line="310" w:lineRule="atLeast"/>
    </w:pPr>
    <w:rPr>
      <w:rFonts w:ascii="GuidePedagoNCond" w:hAnsi="GuidePedagoNCond" w:cs="GuidePedagoNCond"/>
      <w:sz w:val="25"/>
      <w:szCs w:val="25"/>
    </w:rPr>
  </w:style>
  <w:style w:type="paragraph" w:customStyle="1" w:styleId="TEnumtiret">
    <w:name w:val="T_Enum_tiret"/>
    <w:basedOn w:val="TTextecourant"/>
    <w:next w:val="TTextecourant"/>
    <w:uiPriority w:val="99"/>
    <w:rsid w:val="00806FB8"/>
    <w:pPr>
      <w:numPr>
        <w:numId w:val="10"/>
      </w:numPr>
      <w:tabs>
        <w:tab w:val="clear" w:pos="113"/>
        <w:tab w:val="left" w:pos="170"/>
      </w:tabs>
    </w:pPr>
  </w:style>
  <w:style w:type="paragraph" w:customStyle="1" w:styleId="TEnumpoint">
    <w:name w:val="T_Enum_point"/>
    <w:basedOn w:val="TTextecourant"/>
    <w:next w:val="TTextecourant"/>
    <w:uiPriority w:val="99"/>
    <w:rsid w:val="0024646B"/>
    <w:pPr>
      <w:numPr>
        <w:numId w:val="11"/>
      </w:numPr>
      <w:tabs>
        <w:tab w:val="left" w:pos="100"/>
      </w:tabs>
      <w:suppressAutoHyphens/>
    </w:pPr>
  </w:style>
  <w:style w:type="paragraph" w:customStyle="1" w:styleId="TTitrepuce">
    <w:name w:val="T_Titre_puce"/>
    <w:basedOn w:val="TTextecourant"/>
    <w:next w:val="TTextecourant"/>
    <w:uiPriority w:val="99"/>
    <w:rsid w:val="00394FED"/>
    <w:pPr>
      <w:keepNext/>
      <w:keepLines/>
      <w:tabs>
        <w:tab w:val="left" w:pos="113"/>
      </w:tabs>
      <w:spacing w:before="28"/>
    </w:pPr>
    <w:rPr>
      <w:rFonts w:ascii="GuidePedagoTimes-Bold" w:hAnsi="GuidePedagoTimes-Bold" w:cs="GuidePedagoTimes-Bold"/>
      <w:b/>
      <w:bCs/>
    </w:rPr>
  </w:style>
  <w:style w:type="paragraph" w:customStyle="1" w:styleId="Tableautitre">
    <w:name w:val="Tableau_titre"/>
    <w:basedOn w:val="Aucunstyledeparagraphe"/>
    <w:uiPriority w:val="99"/>
    <w:rsid w:val="00394FED"/>
    <w:pPr>
      <w:suppressAutoHyphens/>
      <w:spacing w:before="170" w:line="210" w:lineRule="atLeast"/>
    </w:pPr>
    <w:rPr>
      <w:rFonts w:ascii="GuidePedagoNCond-Bold" w:hAnsi="GuidePedagoNCond-Bold" w:cs="GuidePedagoNCond-Bold"/>
      <w:b/>
      <w:bCs/>
      <w:sz w:val="19"/>
      <w:szCs w:val="19"/>
    </w:rPr>
  </w:style>
  <w:style w:type="paragraph" w:customStyle="1" w:styleId="Tableaunote">
    <w:name w:val="Tableau_note"/>
    <w:basedOn w:val="Aucunstyledeparagraphe"/>
    <w:uiPriority w:val="99"/>
    <w:rsid w:val="00394FED"/>
    <w:pPr>
      <w:suppressAutoHyphens/>
      <w:spacing w:line="160" w:lineRule="atLeast"/>
    </w:pPr>
    <w:rPr>
      <w:rFonts w:ascii="GuidePedagoNCond" w:hAnsi="GuidePedagoNCond" w:cs="GuidePedagoNCond"/>
      <w:sz w:val="14"/>
      <w:szCs w:val="14"/>
    </w:rPr>
  </w:style>
  <w:style w:type="paragraph" w:customStyle="1" w:styleId="Tableaucourant">
    <w:name w:val="Tableau_courant"/>
    <w:basedOn w:val="Aucunstyledeparagraphe"/>
    <w:uiPriority w:val="99"/>
    <w:rsid w:val="00394FED"/>
    <w:pPr>
      <w:spacing w:line="180" w:lineRule="atLeast"/>
      <w:jc w:val="both"/>
    </w:pPr>
    <w:rPr>
      <w:rFonts w:ascii="GuidePedagoNCond" w:hAnsi="GuidePedagoNCond" w:cs="GuidePedagoNCond"/>
      <w:sz w:val="16"/>
      <w:szCs w:val="16"/>
    </w:rPr>
  </w:style>
  <w:style w:type="paragraph" w:customStyle="1" w:styleId="Tableausource">
    <w:name w:val="Tableau_source"/>
    <w:basedOn w:val="Tableaucourant"/>
    <w:uiPriority w:val="99"/>
    <w:rsid w:val="00394FED"/>
    <w:pPr>
      <w:jc w:val="right"/>
    </w:pPr>
  </w:style>
  <w:style w:type="paragraph" w:customStyle="1" w:styleId="07Titregras">
    <w:name w:val="07_Titre_gras"/>
    <w:basedOn w:val="TTextecourant"/>
    <w:next w:val="TTextecourant"/>
    <w:uiPriority w:val="99"/>
    <w:rsid w:val="00394FED"/>
    <w:pPr>
      <w:keepNext/>
      <w:keepLines/>
      <w:spacing w:before="68" w:line="270" w:lineRule="atLeast"/>
    </w:pPr>
    <w:rPr>
      <w:rFonts w:ascii="GuidePedagoTimes-Bold" w:hAnsi="GuidePedagoTimes-Bold" w:cs="GuidePedagoTimes-Bold"/>
      <w:b/>
      <w:bCs/>
      <w:sz w:val="23"/>
      <w:szCs w:val="23"/>
    </w:rPr>
  </w:style>
  <w:style w:type="paragraph" w:customStyle="1" w:styleId="05Applicationnum">
    <w:name w:val="05_Application_num"/>
    <w:basedOn w:val="Aucunstyledeparagraphe"/>
    <w:uiPriority w:val="99"/>
    <w:rsid w:val="00394FED"/>
    <w:pPr>
      <w:keepNext/>
      <w:keepLines/>
      <w:tabs>
        <w:tab w:val="left" w:pos="560"/>
      </w:tabs>
      <w:suppressAutoHyphens/>
      <w:spacing w:before="340" w:after="113" w:line="310" w:lineRule="atLeast"/>
      <w:ind w:left="567" w:hanging="567"/>
    </w:pPr>
    <w:rPr>
      <w:rFonts w:ascii="GuidePedagoNCond" w:hAnsi="GuidePedagoNCond" w:cs="GuidePedagoNCond"/>
      <w:spacing w:val="-1"/>
      <w:sz w:val="25"/>
      <w:szCs w:val="25"/>
    </w:rPr>
  </w:style>
  <w:style w:type="paragraph" w:customStyle="1" w:styleId="Tableautetiere">
    <w:name w:val="Tableau_tetiere"/>
    <w:basedOn w:val="Tableaucourant"/>
    <w:uiPriority w:val="99"/>
    <w:rsid w:val="00394FED"/>
    <w:pPr>
      <w:suppressAutoHyphens/>
    </w:pPr>
    <w:rPr>
      <w:rFonts w:ascii="GuidePedagoNCond-Bold" w:hAnsi="GuidePedagoNCond-Bold" w:cs="GuidePedagoNCond-Bold"/>
      <w:b/>
      <w:bCs/>
    </w:rPr>
  </w:style>
  <w:style w:type="paragraph" w:customStyle="1" w:styleId="Tableaulistepuce">
    <w:name w:val="Tableau_liste_puce"/>
    <w:basedOn w:val="Tableaucourant"/>
    <w:uiPriority w:val="99"/>
    <w:rsid w:val="00054C34"/>
    <w:pPr>
      <w:numPr>
        <w:numId w:val="1"/>
      </w:numPr>
      <w:tabs>
        <w:tab w:val="clear" w:pos="57"/>
        <w:tab w:val="left" w:pos="113"/>
      </w:tabs>
    </w:pPr>
  </w:style>
  <w:style w:type="paragraph" w:customStyle="1" w:styleId="Tableaulistetiret">
    <w:name w:val="Tableau_liste_tiret"/>
    <w:basedOn w:val="Tableaucourant"/>
    <w:uiPriority w:val="99"/>
    <w:rsid w:val="00054C34"/>
    <w:pPr>
      <w:numPr>
        <w:numId w:val="3"/>
      </w:numPr>
    </w:pPr>
  </w:style>
  <w:style w:type="character" w:customStyle="1" w:styleId="ChaptitrepourTC">
    <w:name w:val="Chap_titre_pour_TC"/>
    <w:uiPriority w:val="99"/>
    <w:rsid w:val="00394FED"/>
  </w:style>
  <w:style w:type="character" w:customStyle="1" w:styleId="i">
    <w:name w:val="i"/>
    <w:uiPriority w:val="99"/>
    <w:rsid w:val="00394FED"/>
    <w:rPr>
      <w:i/>
    </w:rPr>
  </w:style>
  <w:style w:type="character" w:customStyle="1" w:styleId="b">
    <w:name w:val="b"/>
    <w:uiPriority w:val="99"/>
    <w:rsid w:val="00394FED"/>
    <w:rPr>
      <w:b/>
    </w:rPr>
  </w:style>
  <w:style w:type="character" w:customStyle="1" w:styleId="pc">
    <w:name w:val="pc"/>
    <w:uiPriority w:val="99"/>
    <w:rsid w:val="00394FED"/>
    <w:rPr>
      <w:smallCaps/>
    </w:rPr>
  </w:style>
  <w:style w:type="character" w:customStyle="1" w:styleId="exp">
    <w:name w:val="exp"/>
    <w:uiPriority w:val="99"/>
    <w:rsid w:val="00394FED"/>
    <w:rPr>
      <w:vertAlign w:val="superscript"/>
    </w:rPr>
  </w:style>
  <w:style w:type="character" w:customStyle="1" w:styleId="ind">
    <w:name w:val="ind"/>
    <w:uiPriority w:val="99"/>
    <w:rsid w:val="00394FED"/>
    <w:rPr>
      <w:vertAlign w:val="subscript"/>
    </w:rPr>
  </w:style>
  <w:style w:type="character" w:customStyle="1" w:styleId="soul">
    <w:name w:val="soul"/>
    <w:uiPriority w:val="99"/>
    <w:rsid w:val="00394FED"/>
    <w:rPr>
      <w:u w:val="thick"/>
    </w:rPr>
  </w:style>
  <w:style w:type="character" w:customStyle="1" w:styleId="Symbol">
    <w:name w:val="Symbol"/>
    <w:uiPriority w:val="99"/>
    <w:rsid w:val="00394FED"/>
    <w:rPr>
      <w:rFonts w:ascii="Symbol" w:hAnsi="Symbol"/>
      <w:w w:val="100"/>
    </w:rPr>
  </w:style>
  <w:style w:type="character" w:customStyle="1" w:styleId="Chapnum">
    <w:name w:val="Chap_num"/>
    <w:uiPriority w:val="99"/>
    <w:rsid w:val="00394FED"/>
    <w:rPr>
      <w:rFonts w:ascii="GuidePedagoNCond-Bold" w:hAnsi="GuidePedagoNCond-Bold"/>
      <w:b/>
      <w:color w:val="000000"/>
      <w:spacing w:val="0"/>
      <w:sz w:val="100"/>
      <w:lang w:val="fr-FR"/>
    </w:rPr>
  </w:style>
  <w:style w:type="character" w:customStyle="1" w:styleId="Exercicenum">
    <w:name w:val="Exercice_num"/>
    <w:uiPriority w:val="99"/>
    <w:rsid w:val="00394FED"/>
    <w:rPr>
      <w:rFonts w:ascii="GuidePedagoNCond-Bold" w:hAnsi="GuidePedagoNCond-Bold"/>
      <w:b/>
      <w:color w:val="000000"/>
      <w:spacing w:val="0"/>
      <w:w w:val="100"/>
      <w:sz w:val="44"/>
      <w:u w:val="none"/>
      <w:vertAlign w:val="baseline"/>
      <w:lang w:val="fr-FR"/>
    </w:rPr>
  </w:style>
  <w:style w:type="character" w:customStyle="1" w:styleId="bi">
    <w:name w:val="bi"/>
    <w:basedOn w:val="b"/>
    <w:uiPriority w:val="1"/>
    <w:qFormat/>
    <w:rsid w:val="00EE26B7"/>
    <w:rPr>
      <w:b/>
      <w:i/>
    </w:rPr>
  </w:style>
  <w:style w:type="paragraph" w:customStyle="1" w:styleId="EncaTitre">
    <w:name w:val="Enca_Titre"/>
    <w:basedOn w:val="TTextecourant"/>
    <w:qFormat/>
    <w:rsid w:val="009215F2"/>
    <w:pPr>
      <w:suppressAutoHyphens/>
    </w:pPr>
    <w:rPr>
      <w:b/>
    </w:rPr>
  </w:style>
  <w:style w:type="paragraph" w:customStyle="1" w:styleId="EncaTxt">
    <w:name w:val="Enca_Txt"/>
    <w:basedOn w:val="TTextecourant"/>
    <w:qFormat/>
    <w:rsid w:val="009215F2"/>
    <w:pPr>
      <w:suppressAutoHyphens/>
    </w:pPr>
  </w:style>
  <w:style w:type="paragraph" w:customStyle="1" w:styleId="01Chapogras">
    <w:name w:val="01_Chapo_gras"/>
    <w:basedOn w:val="TTextecourant"/>
    <w:qFormat/>
    <w:rsid w:val="00B81F3B"/>
    <w:pPr>
      <w:spacing w:before="120"/>
    </w:pPr>
    <w:rPr>
      <w:rFonts w:ascii="Guide Pedago NCond" w:hAnsi="Guide Pedago NCond"/>
      <w:b/>
    </w:rPr>
  </w:style>
  <w:style w:type="paragraph" w:customStyle="1" w:styleId="01Chapo">
    <w:name w:val="01_Chapo"/>
    <w:basedOn w:val="TTextecourant"/>
    <w:qFormat/>
    <w:rsid w:val="00B81F3B"/>
    <w:pPr>
      <w:spacing w:before="120"/>
    </w:pPr>
    <w:rPr>
      <w:rFonts w:ascii="Guide Pedago NCond" w:hAnsi="Guide Pedago NCond"/>
    </w:rPr>
  </w:style>
  <w:style w:type="paragraph" w:styleId="En-tte">
    <w:name w:val="header"/>
    <w:basedOn w:val="Normal"/>
    <w:link w:val="En-tteCar"/>
    <w:uiPriority w:val="99"/>
    <w:semiHidden/>
    <w:unhideWhenUsed/>
    <w:rsid w:val="004016EA"/>
    <w:pPr>
      <w:tabs>
        <w:tab w:val="center" w:pos="4536"/>
        <w:tab w:val="right" w:pos="9072"/>
      </w:tabs>
    </w:pPr>
  </w:style>
  <w:style w:type="character" w:customStyle="1" w:styleId="En-tteCar">
    <w:name w:val="En-tête Car"/>
    <w:basedOn w:val="Policepardfaut"/>
    <w:link w:val="En-tte"/>
    <w:uiPriority w:val="99"/>
    <w:semiHidden/>
    <w:rsid w:val="004016EA"/>
    <w:rPr>
      <w:sz w:val="24"/>
      <w:szCs w:val="24"/>
    </w:rPr>
  </w:style>
  <w:style w:type="paragraph" w:styleId="Pieddepage">
    <w:name w:val="footer"/>
    <w:basedOn w:val="Normal"/>
    <w:link w:val="PieddepageCar"/>
    <w:uiPriority w:val="99"/>
    <w:unhideWhenUsed/>
    <w:rsid w:val="004016EA"/>
    <w:pPr>
      <w:tabs>
        <w:tab w:val="center" w:pos="4536"/>
        <w:tab w:val="right" w:pos="9072"/>
      </w:tabs>
    </w:pPr>
  </w:style>
  <w:style w:type="character" w:customStyle="1" w:styleId="PieddepageCar">
    <w:name w:val="Pied de page Car"/>
    <w:basedOn w:val="Policepardfaut"/>
    <w:link w:val="Pieddepage"/>
    <w:uiPriority w:val="99"/>
    <w:rsid w:val="004016EA"/>
    <w:rPr>
      <w:sz w:val="24"/>
      <w:szCs w:val="24"/>
    </w:rPr>
  </w:style>
  <w:style w:type="paragraph" w:styleId="Textedebulles">
    <w:name w:val="Balloon Text"/>
    <w:basedOn w:val="Normal"/>
    <w:link w:val="TextedebullesCar"/>
    <w:uiPriority w:val="99"/>
    <w:semiHidden/>
    <w:unhideWhenUsed/>
    <w:rsid w:val="004016EA"/>
    <w:rPr>
      <w:rFonts w:ascii="Tahoma" w:hAnsi="Tahoma" w:cs="Tahoma"/>
      <w:sz w:val="16"/>
      <w:szCs w:val="16"/>
    </w:rPr>
  </w:style>
  <w:style w:type="character" w:customStyle="1" w:styleId="TextedebullesCar">
    <w:name w:val="Texte de bulles Car"/>
    <w:basedOn w:val="Policepardfaut"/>
    <w:link w:val="Textedebulles"/>
    <w:uiPriority w:val="99"/>
    <w:semiHidden/>
    <w:rsid w:val="004016EA"/>
    <w:rPr>
      <w:rFonts w:ascii="Tahoma" w:hAnsi="Tahoma" w:cs="Tahoma"/>
      <w:sz w:val="16"/>
      <w:szCs w:val="16"/>
    </w:rPr>
  </w:style>
  <w:style w:type="paragraph" w:customStyle="1" w:styleId="Pieddepagedroite">
    <w:name w:val="Pied de page droite"/>
    <w:rsid w:val="00C20988"/>
    <w:pPr>
      <w:widowControl w:val="0"/>
      <w:tabs>
        <w:tab w:val="right" w:pos="10206"/>
      </w:tabs>
      <w:suppressAutoHyphens/>
      <w:autoSpaceDE w:val="0"/>
      <w:autoSpaceDN w:val="0"/>
      <w:adjustRightInd w:val="0"/>
      <w:spacing w:after="0" w:line="240" w:lineRule="atLeast"/>
    </w:pPr>
    <w:rPr>
      <w:rFonts w:ascii="Guide Pedago Arial" w:hAnsi="Guide Pedago Arial" w:cs="Guide Pedago Arial"/>
      <w:color w:val="000000"/>
      <w:sz w:val="17"/>
      <w:szCs w:val="17"/>
    </w:rPr>
  </w:style>
  <w:style w:type="character" w:customStyle="1" w:styleId="Bold">
    <w:name w:val="Bold"/>
    <w:rsid w:val="004016EA"/>
    <w:rPr>
      <w:b/>
      <w:bCs/>
    </w:rPr>
  </w:style>
  <w:style w:type="character" w:customStyle="1" w:styleId="Folio">
    <w:name w:val="Folio"/>
    <w:rsid w:val="004016EA"/>
    <w:rPr>
      <w:rFonts w:ascii="Guide Pedago NCond" w:hAnsi="Guide Pedago NCond" w:cs="Guide Pedago NCond"/>
      <w:b/>
      <w:bCs/>
      <w:color w:val="000000"/>
      <w:spacing w:val="0"/>
      <w:w w:val="100"/>
      <w:sz w:val="20"/>
      <w:szCs w:val="20"/>
      <w:u w:val="none"/>
      <w:vertAlign w:val="baseline"/>
      <w:lang w:val="fr-FR"/>
    </w:rPr>
  </w:style>
  <w:style w:type="paragraph" w:customStyle="1" w:styleId="Pieddepagegauche">
    <w:name w:val="Pied de page gauche"/>
    <w:rsid w:val="004016EA"/>
    <w:pPr>
      <w:widowControl w:val="0"/>
      <w:tabs>
        <w:tab w:val="right" w:pos="7340"/>
      </w:tabs>
      <w:suppressAutoHyphens/>
      <w:autoSpaceDE w:val="0"/>
      <w:autoSpaceDN w:val="0"/>
      <w:adjustRightInd w:val="0"/>
      <w:spacing w:after="0" w:line="200" w:lineRule="atLeast"/>
      <w:jc w:val="both"/>
    </w:pPr>
    <w:rPr>
      <w:rFonts w:ascii="Guide Pedago Arial" w:hAnsi="Guide Pedago Arial" w:cs="Guide Pedago Arial"/>
      <w:b/>
      <w:bCs/>
      <w:color w:val="000000"/>
      <w:w w:val="0"/>
      <w:sz w:val="16"/>
      <w:szCs w:val="16"/>
    </w:rPr>
  </w:style>
  <w:style w:type="table" w:styleId="Grilledutableau">
    <w:name w:val="Table Grid"/>
    <w:basedOn w:val="TableauNormal"/>
    <w:uiPriority w:val="39"/>
    <w:rsid w:val="00631AB0"/>
    <w:pPr>
      <w:spacing w:after="0" w:line="240" w:lineRule="auto"/>
    </w:pPr>
    <w:rPr>
      <w:rFonts w:asciiTheme="minorHAnsi" w:eastAsiaTheme="minorHAnsi" w:hAnsi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2.xml"/><Relationship Id="rId4" Type="http://schemas.microsoft.com/office/2007/relationships/stylesWithEffects" Target="stylesWithEffect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Marie_STMG_BTS\2016_2017\STMG_2016_2017\_Premi&#232;re_2016\feuilles_de_styles\Gabarit_GP_Foucher.dot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07879E-9BA6-4A04-A5B6-139DA55E02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Gabarit_GP_Foucher.dotm</Template>
  <TotalTime>3</TotalTime>
  <Pages>2</Pages>
  <Words>924</Words>
  <Characters>5088</Characters>
  <Application>Microsoft Office Word</Application>
  <DocSecurity>0</DocSecurity>
  <Lines>42</Lines>
  <Paragraphs>11</Paragraphs>
  <ScaleCrop>false</ScaleCrop>
  <HeadingPairs>
    <vt:vector size="2" baseType="variant">
      <vt:variant>
        <vt:lpstr>Titre</vt:lpstr>
      </vt:variant>
      <vt:variant>
        <vt:i4>1</vt:i4>
      </vt:variant>
    </vt:vector>
  </HeadingPairs>
  <TitlesOfParts>
    <vt:vector size="1" baseType="lpstr">
      <vt:lpstr/>
    </vt:vector>
  </TitlesOfParts>
  <Company>Hachette Livre</Company>
  <LinksUpToDate>false</LinksUpToDate>
  <CharactersWithSpaces>6001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SICAUD MARIE</dc:creator>
  <cp:lastModifiedBy>SICAUD MARIE</cp:lastModifiedBy>
  <cp:revision>6</cp:revision>
  <cp:lastPrinted>2011-10-07T12:04:00Z</cp:lastPrinted>
  <dcterms:created xsi:type="dcterms:W3CDTF">2018-04-23T13:43:00Z</dcterms:created>
  <dcterms:modified xsi:type="dcterms:W3CDTF">2018-04-23T13:45:00Z</dcterms:modified>
</cp:coreProperties>
</file>

<file path=userCustomization/customUI.xml><?xml version="1.0" encoding="utf-8"?>
<mso:customUI xmlns:doc="http://schemas.microsoft.com/office/2006/01/customui/currentDocument" xmlns:mso="http://schemas.microsoft.com/office/2006/01/customui">
  <mso:ribbon>
    <mso:qat>
      <mso:documentControls>
        <mso:button idQ="doc:Foucher_StyleGP_1" visible="true" label="TemplateProject.MacrosMenuGP.Foucher_StyleGP" onAction="Foucher_StyleGP" imageMso="AppointmentColor1"/>
      </mso:documentControls>
    </mso:qat>
  </mso:ribbon>
</mso:customUI>
</file>