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0" w:line="276"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ab/>
        <w:t xml:space="preserve">A ) Recruter et superviser une équipe de téléacteurs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tl w:val="0"/>
        </w:rPr>
        <w:t xml:space="preserve">Le recrutement de téléacteurs dépend d’un processus structuré en plusieurs étapes qui doit aboutir à la constitution d’une équipe efficace et performante. Il est déclenché par le besoin d’embaucher de nouveaux téléacteurs.</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Recruter des téléacteurs pour constituer une équipe et les intégrer</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Définir et faire connaître le besoin en recrutement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besoin de recrutement peut être issu de facteurs externes ou internes à l’entreprise.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principales origines de ce besoin sont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l’externe, les facteurs liés à l’évolution du marché et de l’environnement de l’entreprise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l’interne, les facteurs liés à l’activité, aux nouvelles compétences requises, à la démographie de l’entreprise, à la mobilité et l’évolution de carrière de ses employés.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fois repéré, le besoin de recruter doit être exprimé afin que se déclenche le processus qui va permettre l’embauche de nouveaux téléacteurs. Selon la taille de l’entreprise et son organisation, c’est le plus souvent la direction du centre de relation clients ou la direction des ressources humaines qui décide des modalités et prend en charge le lancement de la procédure.</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Recruter et respecter la législation du travail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recrutement doit se faire dans le respect des règles précisant les droits et devoirs des recruteurs et des candidats : Code du travail, conventions collectives, règlement intérieur de l’entreprise,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législation du travail à laquelle il faut se conformer durant le recrutement porte essentiellement sur la discrimination à l’embauche, la période d’essai, le cas des mineurs, la situation des personnes porteuses de handicap, les modalités des différents contrats de travail.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NB : Ces concepts peuvent être abordés en CEJM appliquée en les reliant aux thèmes 3 « L’organisation de l’activité de l’entreprise » ou 5 « Les mutations du travail » par exemple. Dans le cadre des ateliers de professionnalisation, des contrats de travail ou la convention collective peuvent être étudiés (Convention collective nationale du personnel des prestataires de services dans le domaine du secteur tertiaire et Textes Attachés relatifs aux salariés des centres d'appels).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budget défini pour le recrutement (« budget RH ») va contraindre les choix de méthodes à utiliser pour trouver le nouveau collaborateur. Il comporte les frais d’annonce (comment sera publiée l’offre), les frais de sélection (par qui sera faite la sélection), les frais liés à l’intégration (qui va former), etc.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recruter, il faut tout d’abord définir le poste à pourvoir (missions confiées, éléments de rémunération, hiérarchie, lieu d’exercice…) et le profil du candidat recherché (qualités, compétences, niveau de formation…).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faut ensuite diffuser une offre d’emploi. L’entreprise le fait soit elle-même (affichage interne, site Internet…), soit en passant par un intermédiaire (Pôle Emploi, agences spécialisées, réseaux professionnels, et de plus en plus via les sites d’offres d’emploi - « jobboards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Une fois les candidatures arrivées, il est nécessaire de les trier (manuellement ou avec l’aide d’un logiciel spécialisé qui effectue une sélection par mots-clés) afin de ne conserver que celles qui correspondent au profil recherché.</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L’étape de la sélection se poursuit la plupart du temps avec un ou plusieurs entretiens (qui peuvent parfois se faire à distance ou en différé à l’appui d’une vidéo envoyée par le candidat au recruteur) et des étapes d’évaluation (assessment center) et/ou de tests psychotechniques, de logique, de personnalité, etc.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convient ensuite, à l’issue du processus de recrutement, de faire savoir au candidat qu’il a été retenu, puis de l’intégrer à sa nouvelle équipe de travail ; c’est souvent le rôle du superviseur.</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Intégrer le nouveau téléacteur</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w:cs="Times" w:eastAsia="Times" w:hAnsi="Times"/>
          <w:b w:val="1"/>
          <w:bCs w:val="1"/>
          <w:i w:val="0"/>
          <w:iCs w:val="0"/>
          <w:smallCaps w:val="0"/>
          <w:strike w:val="0"/>
          <w:color w:val="000000"/>
          <w:sz w:val="23"/>
          <w:szCs w:val="23"/>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(ou « onboarding ») du nouveau téléacteur est la première étape de sa fidélisation. Les étapes de l’intégration se déroulent sur une ou plusieurs journées en fonction de ce qui est prévu par l’entreprise. Elles peuvent consister en : l’accueil du téléacteur le premier jour, sa prise de poste et la présentation des outils et supports mis à sa disposition, la découverte du métier et de la culture de l'entreprise, la rencontre avec son équipe de travail, etc.</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peut prendre différentes formes en fonction de la durée du contrat par exemple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rapide, dématérialisée et automatisée à l’aide d’un logiciel ou d’une solution sur cloud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classique et personnalisée, balisée par un suivi régulier et formalisé, conduite par le superviseur, un téléacteur expérimenté, etc.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est la première étape de la période d’essai mais elle ne consiste pas à évaluer le nouveau collaborateur. Sa finalité est de commencer à le fidéliser en lui faisant partager la culture et les valeurs de l’entreprise.</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Superviser en fixant des objectifs</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Superviser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développement commercial de l’entreprise dépend de la conquête de nouveaux clients. L’efficacité de l’équipe de téléacteurs revêt la plus grande importance dans ce contexte. Le superviseur, manager de proximité, a un rôle prépondérant dans son pilotage : il doit la superviser. Il utilise pour cela des techniques de management d’équipe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dispositif de « double-écoute » qui lui permet d’évaluer la capacité du téléacteur à émettre ou recevoir des appels, accueillir, traiter la demande, etc., satisfaire le client.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motivation pour éviter le turn-over et développer le sentiment d’appartenance : mise à disposition d’un poste de travail agréable et confortable, activités de team-building pour développer l’esprit d’équipe, transmission des valeurs de l’entreprise (affichage de phrases-clés qui les illustrent…), instauration de rituels communs, etc.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stimulation (ou « incentive ») pour que les forces soient mobilisées et les objectifs atteints : challenges (chaque téléacteur pour remporter le challenge comme celui d’augmenter de 5 % ses ventes du mois précédent par exemple), concours (seuls les meilleurs peuvent remporter le concours comme les deux premiers téléacteurs à atteindre l’objectif de X ventes gagnent la récompense par exemple).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problèmes de management les plus fréquemment rencontrés par les superviseurs sont la difficulté à recruter (pénurie de candidatures en raison du stress lié à la gestion des clients insatisfaits, des horaires flexibles, de la répétition des tâches, du contrôle continu des performances…), l’absentéisme et les retards. Seule une bonne qualité d’animation d’équipe peut limiter ces risques et permettre d’accroître la productivité dans une ambiance de travail agréable et respectueuse des règles.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Fixer des objectifs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superviseur joue un rôle d’encadrement et de conseil auprès de ses équipes mais il doit également être en mesure d’analyser les statistiques pour atteindre les résultats prévus quotidiennement pour la plateforme. Les objectifs fixés doivent avoir les qualités « SMART » d’un bon objectif.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mesurer la capacité de chaque téléacteur à atteindre les objectifs qui lui sont fixés, plusieurs outils sont à la disposition du superviseur :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bord qui permettent de calculer et analyser des ratios de performance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type « paper board » ou tableau blanc effaçable qui permettent un affichage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d’affichage électroniques montrant des données utiles : flux en temps réel du trafic, durée des appels, nombre de téléacteurs en ligne, temps d’appel avant décrochage, etc.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pageBreakBefore w:val="0"/>
        <w:spacing w:before="240" w:line="240" w:lineRule="auto"/>
        <w:rPr>
          <w:rFonts w:ascii="GuidePedagoNCond-Bold" w:cs="GuidePedagoNCond-Bold" w:eastAsia="GuidePedagoNCond-Bold" w:hAnsi="GuidePedagoNCond-Bold"/>
          <w:b w:val="1"/>
          <w:bCs w:val="1"/>
          <w:sz w:val="27"/>
          <w:szCs w:val="27"/>
        </w:rPr>
      </w:pPr>
      <w:r w:rsidDel="00000000" w:rsidR="00000000" w:rsidRPr="00000000">
        <w:rPr>
          <w:rFonts w:ascii="GuidePedagoNCond-Bold" w:cs="GuidePedagoNCond-Bold" w:eastAsia="GuidePedagoNCond-Bold" w:hAnsi="GuidePedagoNCond-Bold"/>
          <w:b w:val="1"/>
          <w:bCs w:val="1"/>
          <w:sz w:val="27"/>
          <w:szCs w:val="27"/>
          <w:rtl w:val="0"/>
        </w:rPr>
        <w:t xml:space="preserve">B ) Évaluer une équipe de téléacteurs</w:t>
      </w:r>
    </w:p>
    <w:p w:rsidR="00000000" w:rsidDel="00000000" w:rsidP="00000000" w:rsidRDefault="00000000" w:rsidRPr="00000000" w14:paraId="00000037">
      <w:pPr>
        <w:pStyle w:val="Heading3"/>
        <w:keepNext w:val="0"/>
        <w:keepLines w:val="0"/>
        <w:pageBreakBefore w:val="0"/>
        <w:spacing w:before="280" w:lineRule="auto"/>
        <w:rPr>
          <w:rFonts w:ascii="GuidePedagoNCond" w:cs="GuidePedagoNCond" w:eastAsia="GuidePedagoNCond" w:hAnsi="GuidePedagoNCond"/>
          <w:color w:val="000000"/>
          <w:sz w:val="25"/>
          <w:szCs w:val="25"/>
        </w:rPr>
      </w:pPr>
      <w:bookmarkStart w:colFirst="0" w:colLast="0" w:name="_gjdgxs" w:id="0"/>
      <w:bookmarkEnd w:id="0"/>
      <w:r w:rsidDel="00000000" w:rsidR="00000000" w:rsidRPr="00000000">
        <w:rPr>
          <w:rFonts w:ascii="GuidePedagoNCond" w:cs="GuidePedagoNCond" w:eastAsia="GuidePedagoNCond" w:hAnsi="GuidePedagoNCond"/>
          <w:color w:val="000000"/>
          <w:sz w:val="25"/>
          <w:szCs w:val="25"/>
          <w:rtl w:val="0"/>
        </w:rPr>
        <w:t xml:space="preserve">I.</w:t>
        <w:tab/>
        <w:t xml:space="preserve">Évaluer l’équipe sur l’activité, les résultats et la productivité</w:t>
      </w:r>
    </w:p>
    <w:p w:rsidR="00000000" w:rsidDel="00000000" w:rsidP="00000000" w:rsidRDefault="00000000" w:rsidRPr="00000000" w14:paraId="00000038">
      <w:pPr>
        <w:pageBreakBefore w:val="0"/>
        <w:jc w:val="both"/>
        <w:rPr>
          <w:rFonts w:ascii="Times" w:cs="Times" w:eastAsia="Times" w:hAnsi="Times"/>
        </w:rPr>
      </w:pPr>
      <w:r w:rsidDel="00000000" w:rsidR="00000000" w:rsidRPr="00000000">
        <w:rPr>
          <w:rFonts w:ascii="Times" w:cs="Times" w:eastAsia="Times" w:hAnsi="Times"/>
          <w:rtl w:val="0"/>
        </w:rPr>
        <w:t xml:space="preserve">Afin de développer les ventes, d’améliorer les process, de réduire les coûts, de gagner en productivité, l’entreprise peut choisir de suivre plusieurs types d’indicateurs-clés qui permettront pour la plupart de réaliser des tableaux de bord.</w:t>
      </w:r>
    </w:p>
    <w:p w:rsidR="00000000" w:rsidDel="00000000" w:rsidP="00000000" w:rsidRDefault="00000000" w:rsidRPr="00000000" w14:paraId="00000039">
      <w:pPr>
        <w:pageBreakBefore w:val="0"/>
        <w:jc w:val="both"/>
        <w:rPr>
          <w:rFonts w:ascii="Times" w:cs="Times" w:eastAsia="Times" w:hAnsi="Times"/>
        </w:rPr>
      </w:pPr>
      <w:r w:rsidDel="00000000" w:rsidR="00000000" w:rsidRPr="00000000">
        <w:rPr>
          <w:rFonts w:ascii="Times" w:cs="Times" w:eastAsia="Times" w:hAnsi="Times"/>
          <w:rtl w:val="0"/>
        </w:rPr>
        <w:t xml:space="preserve">Ils peuvent être exprimés en taux (ex. : +10 % de clients), en indices (ex. : + 0,1) ou en nombres absolus (ex. : +10 nouveaux clients).</w:t>
      </w:r>
    </w:p>
    <w:p w:rsidR="00000000" w:rsidDel="00000000" w:rsidP="00000000" w:rsidRDefault="00000000" w:rsidRPr="00000000" w14:paraId="0000003A">
      <w:pPr>
        <w:pageBreakBefore w:val="0"/>
        <w:jc w:val="both"/>
        <w:rPr>
          <w:rFonts w:ascii="Times" w:cs="Times" w:eastAsia="Times" w:hAnsi="Times"/>
        </w:rPr>
      </w:pPr>
      <w:r w:rsidDel="00000000" w:rsidR="00000000" w:rsidRPr="00000000">
        <w:rPr>
          <w:rFonts w:ascii="Times" w:cs="Times" w:eastAsia="Times" w:hAnsi="Times"/>
          <w:rtl w:val="0"/>
        </w:rPr>
        <w:t xml:space="preserve">Les indicateurs, choisis en fonction du service que l’entreprise souhaite offrir à ses clients, regroupent donc l’évaluation de la performance et celle de la qualité perçue par le client.</w:t>
      </w:r>
    </w:p>
    <w:p w:rsidR="00000000" w:rsidDel="00000000" w:rsidP="00000000" w:rsidRDefault="00000000" w:rsidRPr="00000000" w14:paraId="0000003B">
      <w:pPr>
        <w:pageBreakBefore w:val="0"/>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3C">
      <w:pPr>
        <w:pageBreakBefore w:val="0"/>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 Évaluer avec les indicateurs d’activité </w:t>
      </w:r>
    </w:p>
    <w:p w:rsidR="00000000" w:rsidDel="00000000" w:rsidP="00000000" w:rsidRDefault="00000000" w:rsidRPr="00000000" w14:paraId="0000003D">
      <w:pPr>
        <w:pageBreakBefore w:val="0"/>
        <w:jc w:val="both"/>
        <w:rPr>
          <w:rFonts w:ascii="Times" w:cs="Times" w:eastAsia="Times" w:hAnsi="Times"/>
        </w:rPr>
      </w:pPr>
      <w:r w:rsidDel="00000000" w:rsidR="00000000" w:rsidRPr="00000000">
        <w:rPr>
          <w:rFonts w:ascii="Times" w:cs="Times" w:eastAsia="Times" w:hAnsi="Times"/>
          <w:rtl w:val="0"/>
        </w:rPr>
        <w:t xml:space="preserve">Les indicateurs d’activité permettent de mesurer la performance des équipes de téléacteurs en ce qui concerne leur activité au téléphone.</w:t>
      </w:r>
    </w:p>
    <w:p w:rsidR="00000000" w:rsidDel="00000000" w:rsidP="00000000" w:rsidRDefault="00000000" w:rsidRPr="00000000" w14:paraId="0000003E">
      <w:pPr>
        <w:pageBreakBefore w:val="0"/>
        <w:jc w:val="both"/>
        <w:rPr>
          <w:rFonts w:ascii="Times" w:cs="Times" w:eastAsia="Times" w:hAnsi="Times"/>
        </w:rPr>
      </w:pPr>
      <w:r w:rsidDel="00000000" w:rsidR="00000000" w:rsidRPr="00000000">
        <w:rPr>
          <w:rFonts w:ascii="Times" w:cs="Times" w:eastAsia="Times" w:hAnsi="Times"/>
          <w:rtl w:val="0"/>
        </w:rPr>
        <w:t xml:space="preserve">Ils sont utilisés pour optimiser l’organisation de l’activité de l’équipe et s’assurer que le service est accessible aux clients :</w:t>
      </w:r>
    </w:p>
    <w:p w:rsidR="00000000" w:rsidDel="00000000" w:rsidP="00000000" w:rsidRDefault="00000000" w:rsidRPr="00000000" w14:paraId="0000003F">
      <w:pPr>
        <w:pageBreakBefore w:val="0"/>
        <w:jc w:val="both"/>
        <w:rPr>
          <w:rFonts w:ascii="Times" w:cs="Times" w:eastAsia="Times" w:hAnsi="Times"/>
        </w:rPr>
      </w:pPr>
      <w:r w:rsidDel="00000000" w:rsidR="00000000" w:rsidRPr="00000000">
        <w:rPr>
          <w:rFonts w:ascii="Times" w:cs="Times" w:eastAsia="Times" w:hAnsi="Times"/>
          <w:rtl w:val="0"/>
        </w:rPr>
        <w:t xml:space="preserve">- appels passés / émis ;</w:t>
      </w:r>
    </w:p>
    <w:p w:rsidR="00000000" w:rsidDel="00000000" w:rsidP="00000000" w:rsidRDefault="00000000" w:rsidRPr="00000000" w14:paraId="00000040">
      <w:pPr>
        <w:pageBreakBefore w:val="0"/>
        <w:jc w:val="both"/>
        <w:rPr>
          <w:rFonts w:ascii="Times" w:cs="Times" w:eastAsia="Times" w:hAnsi="Times"/>
        </w:rPr>
      </w:pPr>
      <w:r w:rsidDel="00000000" w:rsidR="00000000" w:rsidRPr="00000000">
        <w:rPr>
          <w:rFonts w:ascii="Times" w:cs="Times" w:eastAsia="Times" w:hAnsi="Times"/>
          <w:rtl w:val="0"/>
        </w:rPr>
        <w:t xml:space="preserve">- temps d’attente des appelants ;</w:t>
      </w:r>
    </w:p>
    <w:p w:rsidR="00000000" w:rsidDel="00000000" w:rsidP="00000000" w:rsidRDefault="00000000" w:rsidRPr="00000000" w14:paraId="00000041">
      <w:pPr>
        <w:pageBreakBefore w:val="0"/>
        <w:jc w:val="both"/>
        <w:rPr>
          <w:rFonts w:ascii="Times" w:cs="Times" w:eastAsia="Times" w:hAnsi="Times"/>
        </w:rPr>
      </w:pPr>
      <w:r w:rsidDel="00000000" w:rsidR="00000000" w:rsidRPr="00000000">
        <w:rPr>
          <w:rFonts w:ascii="Times" w:cs="Times" w:eastAsia="Times" w:hAnsi="Times"/>
          <w:rtl w:val="0"/>
        </w:rPr>
        <w:t xml:space="preserve">- appels décrochés ;</w:t>
      </w:r>
    </w:p>
    <w:p w:rsidR="00000000" w:rsidDel="00000000" w:rsidP="00000000" w:rsidRDefault="00000000" w:rsidRPr="00000000" w14:paraId="00000042">
      <w:pPr>
        <w:pageBreakBefore w:val="0"/>
        <w:jc w:val="both"/>
        <w:rPr>
          <w:rFonts w:ascii="Times" w:cs="Times" w:eastAsia="Times" w:hAnsi="Times"/>
        </w:rPr>
      </w:pPr>
      <w:r w:rsidDel="00000000" w:rsidR="00000000" w:rsidRPr="00000000">
        <w:rPr>
          <w:rFonts w:ascii="Times" w:cs="Times" w:eastAsia="Times" w:hAnsi="Times"/>
          <w:rtl w:val="0"/>
        </w:rPr>
        <w:t xml:space="preserve">- appels traités parmi ceux qui se sont présentés : cela indique la qualité de service et doit en principe se situer autour de 85 à 90 %.</w:t>
      </w:r>
    </w:p>
    <w:p w:rsidR="00000000" w:rsidDel="00000000" w:rsidP="00000000" w:rsidRDefault="00000000" w:rsidRPr="00000000" w14:paraId="00000043">
      <w:pPr>
        <w:pageBreakBefore w:val="0"/>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44">
      <w:pPr>
        <w:pageBreakBefore w:val="0"/>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Évaluer avec les indicateurs de résultats</w:t>
      </w:r>
    </w:p>
    <w:p w:rsidR="00000000" w:rsidDel="00000000" w:rsidP="00000000" w:rsidRDefault="00000000" w:rsidRPr="00000000" w14:paraId="00000045">
      <w:pPr>
        <w:pageBreakBefore w:val="0"/>
        <w:jc w:val="both"/>
        <w:rPr>
          <w:rFonts w:ascii="Times" w:cs="Times" w:eastAsia="Times" w:hAnsi="Times"/>
        </w:rPr>
      </w:pPr>
      <w:r w:rsidDel="00000000" w:rsidR="00000000" w:rsidRPr="00000000">
        <w:rPr>
          <w:rFonts w:ascii="Times" w:cs="Times" w:eastAsia="Times" w:hAnsi="Times"/>
          <w:rtl w:val="0"/>
        </w:rPr>
        <w:t xml:space="preserve">Les indicateurs de résultats permettent de mesurer la performance des équipes de téléacteurs en ce qui concerne les résultats obtenus.</w:t>
      </w:r>
    </w:p>
    <w:p w:rsidR="00000000" w:rsidDel="00000000" w:rsidP="00000000" w:rsidRDefault="00000000" w:rsidRPr="00000000" w14:paraId="00000046">
      <w:pPr>
        <w:pageBreakBefore w:val="0"/>
        <w:jc w:val="both"/>
        <w:rPr>
          <w:rFonts w:ascii="Times" w:cs="Times" w:eastAsia="Times" w:hAnsi="Times"/>
        </w:rPr>
      </w:pPr>
      <w:r w:rsidDel="00000000" w:rsidR="00000000" w:rsidRPr="00000000">
        <w:rPr>
          <w:rFonts w:ascii="Times" w:cs="Times" w:eastAsia="Times" w:hAnsi="Times"/>
          <w:rtl w:val="0"/>
        </w:rPr>
        <w:t xml:space="preserve">Ils permettent de mesurer la création de valeur :</w:t>
      </w:r>
    </w:p>
    <w:p w:rsidR="00000000" w:rsidDel="00000000" w:rsidP="00000000" w:rsidRDefault="00000000" w:rsidRPr="00000000" w14:paraId="00000047">
      <w:pPr>
        <w:pageBreakBefore w:val="0"/>
        <w:jc w:val="both"/>
        <w:rPr>
          <w:rFonts w:ascii="Times" w:cs="Times" w:eastAsia="Times" w:hAnsi="Times"/>
        </w:rPr>
      </w:pPr>
      <w:r w:rsidDel="00000000" w:rsidR="00000000" w:rsidRPr="00000000">
        <w:rPr>
          <w:rFonts w:ascii="Times" w:cs="Times" w:eastAsia="Times" w:hAnsi="Times"/>
          <w:rtl w:val="0"/>
        </w:rPr>
        <w:t xml:space="preserve">- ventes réalisées ;</w:t>
      </w:r>
    </w:p>
    <w:p w:rsidR="00000000" w:rsidDel="00000000" w:rsidP="00000000" w:rsidRDefault="00000000" w:rsidRPr="00000000" w14:paraId="00000048">
      <w:pPr>
        <w:pageBreakBefore w:val="0"/>
        <w:jc w:val="both"/>
        <w:rPr>
          <w:rFonts w:ascii="Times" w:cs="Times" w:eastAsia="Times" w:hAnsi="Times"/>
        </w:rPr>
      </w:pPr>
      <w:r w:rsidDel="00000000" w:rsidR="00000000" w:rsidRPr="00000000">
        <w:rPr>
          <w:rFonts w:ascii="Times" w:cs="Times" w:eastAsia="Times" w:hAnsi="Times"/>
          <w:rtl w:val="0"/>
        </w:rPr>
        <w:t xml:space="preserve">- ventes additionnelles réalisées ;</w:t>
      </w:r>
    </w:p>
    <w:p w:rsidR="00000000" w:rsidDel="00000000" w:rsidP="00000000" w:rsidRDefault="00000000" w:rsidRPr="00000000" w14:paraId="00000049">
      <w:pPr>
        <w:pageBreakBefore w:val="0"/>
        <w:jc w:val="both"/>
        <w:rPr>
          <w:rFonts w:ascii="Times" w:cs="Times" w:eastAsia="Times" w:hAnsi="Times"/>
        </w:rPr>
      </w:pPr>
      <w:bookmarkStart w:colFirst="0" w:colLast="0" w:name="_30j0zll" w:id="1"/>
      <w:bookmarkEnd w:id="1"/>
      <w:r w:rsidDel="00000000" w:rsidR="00000000" w:rsidRPr="00000000">
        <w:rPr>
          <w:rFonts w:ascii="Times" w:cs="Times" w:eastAsia="Times" w:hAnsi="Times"/>
          <w:rtl w:val="0"/>
        </w:rPr>
        <w:t xml:space="preserve">- opportunités gagnées (ou perdues) ;</w:t>
      </w:r>
    </w:p>
    <w:p w:rsidR="00000000" w:rsidDel="00000000" w:rsidP="00000000" w:rsidRDefault="00000000" w:rsidRPr="00000000" w14:paraId="0000004A">
      <w:pPr>
        <w:pageBreakBefore w:val="0"/>
        <w:jc w:val="both"/>
        <w:rPr>
          <w:rFonts w:ascii="Times" w:cs="Times" w:eastAsia="Times" w:hAnsi="Times"/>
        </w:rPr>
      </w:pPr>
      <w:r w:rsidDel="00000000" w:rsidR="00000000" w:rsidRPr="00000000">
        <w:rPr>
          <w:rFonts w:ascii="Times" w:cs="Times" w:eastAsia="Times" w:hAnsi="Times"/>
          <w:rtl w:val="0"/>
        </w:rPr>
        <w:t xml:space="preserve">- nombre de clients retenus après avoir signalé leur volonté de mettre fin à leur contrat ;</w:t>
      </w:r>
    </w:p>
    <w:p w:rsidR="00000000" w:rsidDel="00000000" w:rsidP="00000000" w:rsidRDefault="00000000" w:rsidRPr="00000000" w14:paraId="0000004B">
      <w:pPr>
        <w:pageBreakBefore w:val="0"/>
        <w:jc w:val="both"/>
        <w:rPr>
          <w:rFonts w:ascii="Times" w:cs="Times" w:eastAsia="Times" w:hAnsi="Times"/>
        </w:rPr>
      </w:pPr>
      <w:r w:rsidDel="00000000" w:rsidR="00000000" w:rsidRPr="00000000">
        <w:rPr>
          <w:rFonts w:ascii="Times" w:cs="Times" w:eastAsia="Times" w:hAnsi="Times"/>
          <w:rtl w:val="0"/>
        </w:rPr>
        <w:t xml:space="preserve">- nombre de réabonnements ou de réachats ;</w:t>
      </w:r>
    </w:p>
    <w:p w:rsidR="00000000" w:rsidDel="00000000" w:rsidP="00000000" w:rsidRDefault="00000000" w:rsidRPr="00000000" w14:paraId="0000004C">
      <w:pPr>
        <w:pageBreakBefore w:val="0"/>
        <w:jc w:val="both"/>
        <w:rPr>
          <w:rFonts w:ascii="Times" w:cs="Times" w:eastAsia="Times" w:hAnsi="Times"/>
        </w:rPr>
      </w:pPr>
      <w:r w:rsidDel="00000000" w:rsidR="00000000" w:rsidRPr="00000000">
        <w:rPr>
          <w:rFonts w:ascii="Times" w:cs="Times" w:eastAsia="Times" w:hAnsi="Times"/>
          <w:rtl w:val="0"/>
        </w:rPr>
        <w:t xml:space="preserve">- chiffre d’affaires ou marge réalisés.</w:t>
      </w:r>
    </w:p>
    <w:p w:rsidR="00000000" w:rsidDel="00000000" w:rsidP="00000000" w:rsidRDefault="00000000" w:rsidRPr="00000000" w14:paraId="0000004D">
      <w:pPr>
        <w:pageBreakBefore w:val="0"/>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4E">
      <w:pPr>
        <w:pageBreakBefore w:val="0"/>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 Évaluer avec les indicateurs de productivité</w:t>
      </w:r>
    </w:p>
    <w:p w:rsidR="00000000" w:rsidDel="00000000" w:rsidP="00000000" w:rsidRDefault="00000000" w:rsidRPr="00000000" w14:paraId="0000004F">
      <w:pPr>
        <w:pageBreakBefore w:val="0"/>
        <w:rPr>
          <w:rFonts w:ascii="Times" w:cs="Times" w:eastAsia="Times" w:hAnsi="Times"/>
        </w:rPr>
      </w:pPr>
      <w:r w:rsidDel="00000000" w:rsidR="00000000" w:rsidRPr="00000000">
        <w:rPr>
          <w:rFonts w:ascii="Times" w:cs="Times" w:eastAsia="Times" w:hAnsi="Times"/>
          <w:rtl w:val="0"/>
        </w:rPr>
        <w:t xml:space="preserve">Les indicateurs de productivité permettent de mieux évaluer l’affectation des ressources humaines, le respect des procédures et favorisent le pilotage de l’équipe :</w:t>
      </w:r>
    </w:p>
    <w:p w:rsidR="00000000" w:rsidDel="00000000" w:rsidP="00000000" w:rsidRDefault="00000000" w:rsidRPr="00000000" w14:paraId="00000050">
      <w:pPr>
        <w:pageBreakBefore w:val="0"/>
        <w:rPr>
          <w:rFonts w:ascii="Times" w:cs="Times" w:eastAsia="Times" w:hAnsi="Times"/>
        </w:rPr>
      </w:pPr>
      <w:r w:rsidDel="00000000" w:rsidR="00000000" w:rsidRPr="00000000">
        <w:rPr>
          <w:rFonts w:ascii="Times" w:cs="Times" w:eastAsia="Times" w:hAnsi="Times"/>
          <w:rtl w:val="0"/>
        </w:rPr>
        <w:t xml:space="preserve">- durée moyenne de traitement des appels ;</w:t>
      </w:r>
    </w:p>
    <w:p w:rsidR="00000000" w:rsidDel="00000000" w:rsidP="00000000" w:rsidRDefault="00000000" w:rsidRPr="00000000" w14:paraId="00000051">
      <w:pPr>
        <w:pageBreakBefore w:val="0"/>
        <w:rPr>
          <w:rFonts w:ascii="Times" w:cs="Times" w:eastAsia="Times" w:hAnsi="Times"/>
        </w:rPr>
      </w:pPr>
      <w:r w:rsidDel="00000000" w:rsidR="00000000" w:rsidRPr="00000000">
        <w:rPr>
          <w:rFonts w:ascii="Times" w:cs="Times" w:eastAsia="Times" w:hAnsi="Times"/>
          <w:rtl w:val="0"/>
        </w:rPr>
        <w:t xml:space="preserve">- durée moyenne de conversation ;</w:t>
      </w:r>
    </w:p>
    <w:p w:rsidR="00000000" w:rsidDel="00000000" w:rsidP="00000000" w:rsidRDefault="00000000" w:rsidRPr="00000000" w14:paraId="00000052">
      <w:pPr>
        <w:pageBreakBefore w:val="0"/>
        <w:rPr>
          <w:rFonts w:ascii="Times" w:cs="Times" w:eastAsia="Times" w:hAnsi="Times"/>
        </w:rPr>
      </w:pPr>
      <w:r w:rsidDel="00000000" w:rsidR="00000000" w:rsidRPr="00000000">
        <w:rPr>
          <w:rFonts w:ascii="Times" w:cs="Times" w:eastAsia="Times" w:hAnsi="Times"/>
          <w:rtl w:val="0"/>
        </w:rPr>
        <w:t xml:space="preserve">- nombre de ventes par appel ;</w:t>
      </w:r>
    </w:p>
    <w:p w:rsidR="00000000" w:rsidDel="00000000" w:rsidP="00000000" w:rsidRDefault="00000000" w:rsidRPr="00000000" w14:paraId="00000053">
      <w:pPr>
        <w:pageBreakBefore w:val="0"/>
        <w:rPr>
          <w:rFonts w:ascii="Times" w:cs="Times" w:eastAsia="Times" w:hAnsi="Times"/>
        </w:rPr>
      </w:pPr>
      <w:r w:rsidDel="00000000" w:rsidR="00000000" w:rsidRPr="00000000">
        <w:rPr>
          <w:rFonts w:ascii="Times" w:cs="Times" w:eastAsia="Times" w:hAnsi="Times"/>
          <w:rtl w:val="0"/>
        </w:rPr>
        <w:t xml:space="preserve">- qualité de service.</w:t>
      </w:r>
    </w:p>
    <w:p w:rsidR="00000000" w:rsidDel="00000000" w:rsidP="00000000" w:rsidRDefault="00000000" w:rsidRPr="00000000" w14:paraId="00000054">
      <w:pPr>
        <w:pageBreakBefore w:val="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ageBreakBefore w:val="0"/>
        <w:jc w:val="both"/>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w:t>
        <w:tab/>
        <w:t xml:space="preserve">Évaluer l’équipe sur la qualité de la relation client</w:t>
      </w:r>
    </w:p>
    <w:p w:rsidR="00000000" w:rsidDel="00000000" w:rsidP="00000000" w:rsidRDefault="00000000" w:rsidRPr="00000000" w14:paraId="00000056">
      <w:pPr>
        <w:pageBreakBefore w:val="0"/>
        <w:jc w:val="both"/>
        <w:rPr>
          <w:rFonts w:ascii="Times" w:cs="Times" w:eastAsia="Times" w:hAnsi="Times"/>
        </w:rPr>
      </w:pPr>
      <w:r w:rsidDel="00000000" w:rsidR="00000000" w:rsidRPr="00000000">
        <w:rPr>
          <w:rFonts w:ascii="Times" w:cs="Times" w:eastAsia="Times" w:hAnsi="Times"/>
          <w:rtl w:val="0"/>
        </w:rPr>
        <w:t xml:space="preserve">Pour les téléacteurs d’un centre de relation client à distance (qui assurent la réception et/ou l’émission d’appels), des compétences et des performances sont attendues en ce qui concerne :</w:t>
      </w:r>
    </w:p>
    <w:p w:rsidR="00000000" w:rsidDel="00000000" w:rsidP="00000000" w:rsidRDefault="00000000" w:rsidRPr="00000000" w14:paraId="00000057">
      <w:pPr>
        <w:pageBreakBefore w:val="0"/>
        <w:jc w:val="both"/>
        <w:rPr>
          <w:rFonts w:ascii="Times" w:cs="Times" w:eastAsia="Times" w:hAnsi="Times"/>
        </w:rPr>
      </w:pPr>
      <w:r w:rsidDel="00000000" w:rsidR="00000000" w:rsidRPr="00000000">
        <w:rPr>
          <w:rFonts w:ascii="Times" w:cs="Times" w:eastAsia="Times" w:hAnsi="Times"/>
          <w:rtl w:val="0"/>
        </w:rPr>
        <w:t xml:space="preserve">- la satisfaction client et la qualité de service ;</w:t>
      </w:r>
    </w:p>
    <w:p w:rsidR="00000000" w:rsidDel="00000000" w:rsidP="00000000" w:rsidRDefault="00000000" w:rsidRPr="00000000" w14:paraId="00000058">
      <w:pPr>
        <w:pageBreakBefore w:val="0"/>
        <w:jc w:val="both"/>
        <w:rPr>
          <w:rFonts w:ascii="Times" w:cs="Times" w:eastAsia="Times" w:hAnsi="Times"/>
        </w:rPr>
      </w:pPr>
      <w:r w:rsidDel="00000000" w:rsidR="00000000" w:rsidRPr="00000000">
        <w:rPr>
          <w:rFonts w:ascii="Times" w:cs="Times" w:eastAsia="Times" w:hAnsi="Times"/>
          <w:rtl w:val="0"/>
        </w:rPr>
        <w:t xml:space="preserve">- la capacité à répondre et/ou émettre un maximum d’appels par unité de temps.</w:t>
      </w:r>
    </w:p>
    <w:p w:rsidR="00000000" w:rsidDel="00000000" w:rsidP="00000000" w:rsidRDefault="00000000" w:rsidRPr="00000000" w14:paraId="00000059">
      <w:pPr>
        <w:pageBreakBefore w:val="0"/>
        <w:jc w:val="both"/>
        <w:rPr>
          <w:rFonts w:ascii="Times" w:cs="Times" w:eastAsia="Times" w:hAnsi="Times"/>
        </w:rPr>
      </w:pPr>
      <w:r w:rsidDel="00000000" w:rsidR="00000000" w:rsidRPr="00000000">
        <w:rPr>
          <w:rtl w:val="0"/>
        </w:rPr>
      </w:r>
    </w:p>
    <w:p w:rsidR="00000000" w:rsidDel="00000000" w:rsidP="00000000" w:rsidRDefault="00000000" w:rsidRPr="00000000" w14:paraId="0000005A">
      <w:pPr>
        <w:pageBreakBefore w:val="0"/>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 Évaluer avec les KPI</w:t>
      </w:r>
    </w:p>
    <w:p w:rsidR="00000000" w:rsidDel="00000000" w:rsidP="00000000" w:rsidRDefault="00000000" w:rsidRPr="00000000" w14:paraId="0000005B">
      <w:pPr>
        <w:pageBreakBefore w:val="0"/>
        <w:jc w:val="both"/>
        <w:rPr>
          <w:rFonts w:ascii="Times" w:cs="Times" w:eastAsia="Times" w:hAnsi="Times"/>
        </w:rPr>
      </w:pPr>
      <w:r w:rsidDel="00000000" w:rsidR="00000000" w:rsidRPr="00000000">
        <w:rPr>
          <w:rFonts w:ascii="Times" w:cs="Times" w:eastAsia="Times" w:hAnsi="Times"/>
          <w:rtl w:val="0"/>
        </w:rPr>
        <w:t xml:space="preserve">Les KPI sont des indicateurs-clés de performance (</w:t>
      </w:r>
      <w:r w:rsidDel="00000000" w:rsidR="00000000" w:rsidRPr="00000000">
        <w:rPr>
          <w:rFonts w:ascii="Times" w:cs="Times" w:eastAsia="Times" w:hAnsi="Times"/>
          <w:i w:val="1"/>
          <w:iCs w:val="1"/>
          <w:rtl w:val="0"/>
        </w:rPr>
        <w:t xml:space="preserve">Key Performance Indicator</w:t>
      </w:r>
      <w:r w:rsidDel="00000000" w:rsidR="00000000" w:rsidRPr="00000000">
        <w:rPr>
          <w:rFonts w:ascii="Times" w:cs="Times" w:eastAsia="Times" w:hAnsi="Times"/>
          <w:rtl w:val="0"/>
        </w:rPr>
        <w:t xml:space="preserve">) qui vont permettre, dans le cadre du pilotage de l’équipe de téléacteurs, de savoir si les objectifs de satisfaction du client sont atteints.</w:t>
      </w:r>
    </w:p>
    <w:p w:rsidR="00000000" w:rsidDel="00000000" w:rsidP="00000000" w:rsidRDefault="00000000" w:rsidRPr="00000000" w14:paraId="0000005C">
      <w:pPr>
        <w:pageBreakBefore w:val="0"/>
        <w:jc w:val="both"/>
        <w:rPr>
          <w:rFonts w:ascii="Times" w:cs="Times" w:eastAsia="Times" w:hAnsi="Times"/>
        </w:rPr>
      </w:pPr>
      <w:r w:rsidDel="00000000" w:rsidR="00000000" w:rsidRPr="00000000">
        <w:rPr>
          <w:rtl w:val="0"/>
        </w:rPr>
      </w:r>
    </w:p>
    <w:p w:rsidR="00000000" w:rsidDel="00000000" w:rsidP="00000000" w:rsidRDefault="00000000" w:rsidRPr="00000000" w14:paraId="0000005D">
      <w:pPr>
        <w:pageBreakBefore w:val="0"/>
        <w:jc w:val="both"/>
        <w:rPr>
          <w:rFonts w:ascii="Times" w:cs="Times" w:eastAsia="Times" w:hAnsi="Times"/>
        </w:rPr>
      </w:pPr>
      <w:r w:rsidDel="00000000" w:rsidR="00000000" w:rsidRPr="00000000">
        <w:rPr>
          <w:rFonts w:ascii="Times" w:cs="Times" w:eastAsia="Times" w:hAnsi="Times"/>
          <w:rtl w:val="0"/>
        </w:rPr>
        <w:t xml:space="preserve">Quelques KPI sont très utilisés par les centres de relation client à distance :</w:t>
      </w:r>
    </w:p>
    <w:tbl>
      <w:tblPr>
        <w:tblStyle w:val="Table1"/>
        <w:tblW w:w="9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4"/>
        <w:tblGridChange w:id="0">
          <w:tblGrid>
            <w:gridCol w:w="3286"/>
            <w:gridCol w:w="3286"/>
            <w:gridCol w:w="3284"/>
          </w:tblGrid>
        </w:tblGridChange>
      </w:tblGrid>
      <w:tr>
        <w:trPr>
          <w:cantSplit w:val="0"/>
          <w:tblHeader w:val="0"/>
        </w:trPr>
        <w:tc>
          <w:tcPr>
            <w:shd w:fill="auto" w:val="clear"/>
            <w:vAlign w:val="center"/>
          </w:tcPr>
          <w:p w:rsidR="00000000" w:rsidDel="00000000" w:rsidP="00000000" w:rsidRDefault="00000000" w:rsidRPr="00000000" w14:paraId="0000005E">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bCs w:val="1"/>
              </w:rPr>
            </w:pPr>
            <w:r w:rsidDel="00000000" w:rsidR="00000000" w:rsidRPr="00000000">
              <w:rPr>
                <w:rFonts w:ascii="Times" w:cs="Times" w:eastAsia="Times" w:hAnsi="Times"/>
                <w:b w:val="1"/>
                <w:bCs w:val="1"/>
                <w:rtl w:val="0"/>
              </w:rPr>
              <w:t xml:space="preserve">Taux de décroché et temps d’attente</w:t>
            </w:r>
          </w:p>
          <w:p w:rsidR="00000000" w:rsidDel="00000000" w:rsidP="00000000" w:rsidRDefault="00000000" w:rsidRPr="00000000" w14:paraId="0000005F">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C’est le taux de réponse en X temps.</w:t>
            </w:r>
          </w:p>
          <w:p w:rsidR="00000000" w:rsidDel="00000000" w:rsidP="00000000" w:rsidRDefault="00000000" w:rsidRPr="00000000" w14:paraId="00000060">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rPr>
                <w:rFonts w:ascii="Times" w:cs="Times" w:eastAsia="Times" w:hAnsi="Times"/>
              </w:rPr>
            </w:pPr>
            <w:r w:rsidDel="00000000" w:rsidR="00000000" w:rsidRPr="00000000">
              <w:rPr>
                <w:rtl w:val="0"/>
              </w:rPr>
            </w:r>
          </w:p>
          <w:p w:rsidR="00000000" w:rsidDel="00000000" w:rsidP="00000000" w:rsidRDefault="00000000" w:rsidRPr="00000000" w14:paraId="00000061">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62">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bCs w:val="1"/>
                <w:rtl w:val="0"/>
              </w:rPr>
              <w:t xml:space="preserve">Net Promoter Score (NPS)</w:t>
            </w:r>
            <w:r w:rsidDel="00000000" w:rsidR="00000000" w:rsidRPr="00000000">
              <w:rPr>
                <w:rtl w:val="0"/>
              </w:rPr>
            </w:r>
          </w:p>
          <w:p w:rsidR="00000000" w:rsidDel="00000000" w:rsidP="00000000" w:rsidRDefault="00000000" w:rsidRPr="00000000" w14:paraId="00000063">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Mesure la satisfaction client avec la question « Recommanderiez-vous notre entreprise / notre produit… ? ».</w:t>
            </w:r>
          </w:p>
        </w:tc>
        <w:tc>
          <w:tcPr>
            <w:shd w:fill="auto" w:val="clear"/>
            <w:vAlign w:val="center"/>
          </w:tcPr>
          <w:p w:rsidR="00000000" w:rsidDel="00000000" w:rsidP="00000000" w:rsidRDefault="00000000" w:rsidRPr="00000000" w14:paraId="00000064">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bCs w:val="1"/>
                <w:rtl w:val="0"/>
              </w:rPr>
              <w:t xml:space="preserve">Taux de promotion intercanal</w:t>
            </w:r>
            <w:r w:rsidDel="00000000" w:rsidR="00000000" w:rsidRPr="00000000">
              <w:rPr>
                <w:rtl w:val="0"/>
              </w:rPr>
            </w:r>
          </w:p>
          <w:p w:rsidR="00000000" w:rsidDel="00000000" w:rsidP="00000000" w:rsidRDefault="00000000" w:rsidRPr="00000000" w14:paraId="00000065">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Permet de mesurer la capacité des télévendeurs à proposer d’autres canaux que le téléphone au client (site Internet…).</w:t>
            </w:r>
          </w:p>
        </w:tc>
      </w:tr>
      <w:tr>
        <w:trPr>
          <w:cantSplit w:val="0"/>
          <w:tblHeader w:val="0"/>
        </w:trPr>
        <w:tc>
          <w:tcPr>
            <w:shd w:fill="auto" w:val="clear"/>
            <w:vAlign w:val="center"/>
          </w:tcPr>
          <w:p w:rsidR="00000000" w:rsidDel="00000000" w:rsidP="00000000" w:rsidRDefault="00000000" w:rsidRPr="00000000" w14:paraId="00000066">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bCs w:val="1"/>
              </w:rPr>
            </w:pPr>
            <w:r w:rsidDel="00000000" w:rsidR="00000000" w:rsidRPr="00000000">
              <w:rPr>
                <w:rFonts w:ascii="Times" w:cs="Times" w:eastAsia="Times" w:hAnsi="Times"/>
                <w:b w:val="1"/>
                <w:bCs w:val="1"/>
                <w:rtl w:val="0"/>
              </w:rPr>
              <w:t xml:space="preserve">Taux de résolution au premier contact ou First Call Résolution (FCR)</w:t>
            </w:r>
          </w:p>
          <w:p w:rsidR="00000000" w:rsidDel="00000000" w:rsidP="00000000" w:rsidRDefault="00000000" w:rsidRPr="00000000" w14:paraId="00000067">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Très forte corrélation entre le niveau de ce taux et la satisfaction client.</w:t>
            </w:r>
          </w:p>
        </w:tc>
        <w:tc>
          <w:tcPr>
            <w:shd w:fill="auto" w:val="clear"/>
            <w:vAlign w:val="center"/>
          </w:tcPr>
          <w:p w:rsidR="00000000" w:rsidDel="00000000" w:rsidP="00000000" w:rsidRDefault="00000000" w:rsidRPr="00000000" w14:paraId="00000068">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bCs w:val="1"/>
                <w:rtl w:val="0"/>
              </w:rPr>
              <w:t xml:space="preserve">Customer Effort Score (CES)</w:t>
            </w:r>
            <w:r w:rsidDel="00000000" w:rsidR="00000000" w:rsidRPr="00000000">
              <w:rPr>
                <w:rtl w:val="0"/>
              </w:rPr>
            </w:r>
          </w:p>
          <w:p w:rsidR="00000000" w:rsidDel="00000000" w:rsidP="00000000" w:rsidRDefault="00000000" w:rsidRPr="00000000" w14:paraId="00000069">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Moins un client aura à fournir d’efforts pour obtenir satisfaction, plus il sera fidèle.</w:t>
            </w:r>
          </w:p>
          <w:p w:rsidR="00000000" w:rsidDel="00000000" w:rsidP="00000000" w:rsidRDefault="00000000" w:rsidRPr="00000000" w14:paraId="0000006A">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6B">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6C">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bCs w:val="1"/>
              </w:rPr>
            </w:pPr>
            <w:r w:rsidDel="00000000" w:rsidR="00000000" w:rsidRPr="00000000">
              <w:rPr>
                <w:rFonts w:ascii="Times" w:cs="Times" w:eastAsia="Times" w:hAnsi="Times"/>
                <w:b w:val="1"/>
                <w:bCs w:val="1"/>
                <w:rtl w:val="0"/>
              </w:rPr>
              <w:t xml:space="preserve">Taux de digitalisation de la relation client</w:t>
            </w:r>
          </w:p>
          <w:p w:rsidR="00000000" w:rsidDel="00000000" w:rsidP="00000000" w:rsidRDefault="00000000" w:rsidRPr="00000000" w14:paraId="0000006D">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Taux de transfert vers les supports digitaux (chat ou espace client par exemple).</w:t>
            </w:r>
          </w:p>
        </w:tc>
      </w:tr>
      <w:tr>
        <w:trPr>
          <w:cantSplit w:val="0"/>
          <w:tblHeader w:val="0"/>
        </w:trPr>
        <w:tc>
          <w:tcPr>
            <w:shd w:fill="auto" w:val="clear"/>
            <w:vAlign w:val="center"/>
          </w:tcPr>
          <w:p w:rsidR="00000000" w:rsidDel="00000000" w:rsidP="00000000" w:rsidRDefault="00000000" w:rsidRPr="00000000" w14:paraId="0000006E">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bCs w:val="1"/>
              </w:rPr>
            </w:pPr>
            <w:r w:rsidDel="00000000" w:rsidR="00000000" w:rsidRPr="00000000">
              <w:rPr>
                <w:rFonts w:ascii="Times" w:cs="Times" w:eastAsia="Times" w:hAnsi="Times"/>
                <w:b w:val="1"/>
                <w:bCs w:val="1"/>
                <w:rtl w:val="0"/>
              </w:rPr>
              <w:t xml:space="preserve">Customer Satisfaction Score (CSAT)</w:t>
            </w:r>
          </w:p>
          <w:p w:rsidR="00000000" w:rsidDel="00000000" w:rsidP="00000000" w:rsidRDefault="00000000" w:rsidRPr="00000000" w14:paraId="0000006F">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rPr>
                <w:rFonts w:ascii="Times" w:cs="Times" w:eastAsia="Times" w:hAnsi="Times"/>
              </w:rPr>
            </w:pPr>
            <w:r w:rsidDel="00000000" w:rsidR="00000000" w:rsidRPr="00000000">
              <w:rPr>
                <w:rFonts w:ascii="Times" w:cs="Times" w:eastAsia="Times" w:hAnsi="Times"/>
                <w:rtl w:val="0"/>
              </w:rPr>
              <w:t xml:space="preserve">Indique la satisfaction du client par une question « </w:t>
            </w:r>
            <w:r w:rsidDel="00000000" w:rsidR="00000000" w:rsidRPr="00000000">
              <w:rPr>
                <w:rFonts w:ascii="Times New Roman" w:cs="Times New Roman" w:eastAsia="Times New Roman" w:hAnsi="Times New Roman"/>
                <w:rtl w:val="0"/>
              </w:rPr>
              <w:t xml:space="preserve">Ê</w:t>
            </w:r>
            <w:r w:rsidDel="00000000" w:rsidR="00000000" w:rsidRPr="00000000">
              <w:rPr>
                <w:rFonts w:ascii="Times" w:cs="Times" w:eastAsia="Times" w:hAnsi="Times"/>
                <w:rtl w:val="0"/>
              </w:rPr>
              <w:t xml:space="preserve">tes-vous satisfait… ? ». La réponse peut être oui/non, un nombre d’étoiles, une note, etc.</w:t>
            </w:r>
          </w:p>
        </w:tc>
        <w:tc>
          <w:tcPr>
            <w:shd w:fill="auto" w:val="clear"/>
            <w:vAlign w:val="center"/>
          </w:tcPr>
          <w:p w:rsidR="00000000" w:rsidDel="00000000" w:rsidP="00000000" w:rsidRDefault="00000000" w:rsidRPr="00000000" w14:paraId="00000070">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bCs w:val="1"/>
                <w:rtl w:val="0"/>
              </w:rPr>
              <w:t xml:space="preserve">Taux de transfert vers le selfscare</w:t>
            </w:r>
            <w:r w:rsidDel="00000000" w:rsidR="00000000" w:rsidRPr="00000000">
              <w:rPr>
                <w:rtl w:val="0"/>
              </w:rPr>
            </w:r>
          </w:p>
          <w:p w:rsidR="00000000" w:rsidDel="00000000" w:rsidP="00000000" w:rsidRDefault="00000000" w:rsidRPr="00000000" w14:paraId="00000071">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Mesure la capacité à transférer les demandes des clients vers la FAQ, le forum, etc.</w:t>
            </w:r>
          </w:p>
          <w:p w:rsidR="00000000" w:rsidDel="00000000" w:rsidP="00000000" w:rsidRDefault="00000000" w:rsidRPr="00000000" w14:paraId="00000072">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3">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74">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bCs w:val="1"/>
              </w:rPr>
            </w:pPr>
            <w:r w:rsidDel="00000000" w:rsidR="00000000" w:rsidRPr="00000000">
              <w:rPr>
                <w:rFonts w:ascii="Times" w:cs="Times" w:eastAsia="Times" w:hAnsi="Times"/>
                <w:b w:val="1"/>
                <w:bCs w:val="1"/>
                <w:rtl w:val="0"/>
              </w:rPr>
              <w:t xml:space="preserve">Taux d’abandon d’appels</w:t>
            </w:r>
          </w:p>
          <w:p w:rsidR="00000000" w:rsidDel="00000000" w:rsidP="00000000" w:rsidRDefault="00000000" w:rsidRPr="00000000" w14:paraId="00000075">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6">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7">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8">
            <w:pPr>
              <w:pageBreakBefore w:val="0"/>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9">
            <w:pPr>
              <w:pageBreakBefore w:val="0"/>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007A">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pageBreakBefore w:val="0"/>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Évaluer lors d’un entretien annuel d’évaluation</w:t>
      </w:r>
    </w:p>
    <w:p w:rsidR="00000000" w:rsidDel="00000000" w:rsidP="00000000" w:rsidRDefault="00000000" w:rsidRPr="00000000" w14:paraId="0000007C">
      <w:pPr>
        <w:pageBreakBefore w:val="0"/>
        <w:jc w:val="both"/>
        <w:rPr>
          <w:rFonts w:ascii="Times" w:cs="Times" w:eastAsia="Times" w:hAnsi="Times"/>
        </w:rPr>
      </w:pPr>
      <w:r w:rsidDel="00000000" w:rsidR="00000000" w:rsidRPr="00000000">
        <w:rPr>
          <w:rFonts w:ascii="Times" w:cs="Times" w:eastAsia="Times" w:hAnsi="Times"/>
          <w:rtl w:val="0"/>
        </w:rPr>
        <w:t xml:space="preserve">L’entretien annuel d’évaluation est un moment d’échange individuel entre le téléacteur et son manager. Cet entretien doit être préparé en amont par les deux parties. Il porte sur le bilan de l’année écoulée et sur les objectifs de l’année N+1. Il est l’occasion d’évoquer les difficultés rencontrées, les formations à envisager, les souhaits d’évolution de carrière, les modalités de rémunération (souvent en ce qui concerne la part variable).</w:t>
      </w:r>
    </w:p>
    <w:p w:rsidR="00000000" w:rsidDel="00000000" w:rsidP="00000000" w:rsidRDefault="00000000" w:rsidRPr="00000000" w14:paraId="0000007D">
      <w:pPr>
        <w:pageBreakBefore w:val="0"/>
        <w:jc w:val="both"/>
        <w:rPr>
          <w:rFonts w:ascii="Times" w:cs="Times" w:eastAsia="Times" w:hAnsi="Times"/>
        </w:rPr>
      </w:pPr>
      <w:r w:rsidDel="00000000" w:rsidR="00000000" w:rsidRPr="00000000">
        <w:rPr>
          <w:rtl w:val="0"/>
        </w:rPr>
      </w:r>
    </w:p>
    <w:p w:rsidR="00000000" w:rsidDel="00000000" w:rsidP="00000000" w:rsidRDefault="00000000" w:rsidRPr="00000000" w14:paraId="0000007E">
      <w:pPr>
        <w:pageBreakBefore w:val="0"/>
        <w:jc w:val="both"/>
        <w:rPr>
          <w:rFonts w:ascii="Calibri" w:cs="Calibri" w:eastAsia="Calibri" w:hAnsi="Calibri"/>
          <w:sz w:val="24"/>
          <w:szCs w:val="24"/>
        </w:rPr>
      </w:pPr>
      <w:r w:rsidDel="00000000" w:rsidR="00000000" w:rsidRPr="00000000">
        <w:rPr>
          <w:rFonts w:ascii="Times" w:cs="Times" w:eastAsia="Times" w:hAnsi="Times"/>
          <w:rtl w:val="0"/>
        </w:rPr>
        <w:t xml:space="preserve">On peut le retrouver sous l’appellation d’entretien de progrès, car il vise à permettre au téléacteur d’entrevoir ses capacités à faire progresser son expertise (réalisation des objectifs, augmentation de la satisfaction des clients, acquisition de nouvelles compétences techniques et relationnelles…) et à faire évoluer sa carrière de façon rapide.</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GuidePedagoArial"/>
  <w:font w:name="GuidePedagoNCond"/>
  <w:font w:name="GuidePedagoNCond-Bold"/>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68"/>
        <w:tab w:val="right" w:leader="none" w:pos="96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