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sz w:val="48"/>
          <w:szCs w:val="48"/>
          <w:rtl w:val="0"/>
        </w:rPr>
        <w:t xml:space="preserve">A ) Produire des contenus </w:t>
      </w:r>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Élaborer une stratégie de brand content digital et de content marketing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production des contenus digitaux est dépendante de la stratégie de communication de l’entreprise. Le contenu est différent selon qu’il s’agit de brand content (contenu de marque) ou de content marketing (contenu marketing).</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 brand content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brand content est la production de contenu sur la marque par la marque elle-même. La communication est « brand centric ». La marque communique sur elle-même, son histoire, son expérience, son expertise. Elle crée de l’affect, affirme son positionnement et véhicule ses valeurs par des contenus informatifs ou pédagogiques tels que des conseils pratiques, des reportages, des tutoriels vidéo, des livres blancs, des jeux, etc. Cette communication augmente la visibilité de la marque et construit son image. La diffusion du contenu se fait sur Internet (site Web, blog, réseaux sociaux), à la télévision ou dans la presse.</w:t>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Le content marketing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content marketing, ou marketing de contenu, vise à mettre le consommateur au centre de la communication, à l’attirer, à créer de l’engagement. L’objectif de cette démarche est de le convertir en lead et ainsi transformer les interactions en actions rentables. On parle alors « d’audience centric », ce qui signifie que les actions marketing sont centrées sur l’audience.</w:t>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Produire et publier des contenus digitaux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Avant de produire et publier du contenu digital, l’entreprise doit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fixer des objectifs précis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sa cible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adopter une ligne éditoriale en fonction de ces objectifs et de sa cible et des médias qui leur sont adaptés.</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La ligne éditoriale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principes à respecter pour la ligne éditoriale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identifier la cible : à qui l’entreprise s’adresse-t-elle ? Quelles sont les attentes ? La ligne éditoriale aborde-t-elle les préoccupations principales de la cible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les objectifs de communication : développer la notoriété ? Améliorer l’image ? Déclencher une action de la part de la cible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choisir les médias et les formats adaptés : comment la cible se comporte-t-elle sur Internet ? Où cherche-t-elle de l’information : site, blogs, réseaux ? Sous quelle forme : infographies, livres blancs, vidéos…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 positionnement de l’entreprise par rapport à ses concurrents : haut de gamme, technologie, proximité, innovation, accessible ? La ligne éditoriale est-elle différenciante ? Est-elle cohérente avec son mix Marketing ? Tient-elle compte des ambitions de l’entreprise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 ton du message : créer une émotion ? Raconter une histoire ? Amuser ? Prouver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Écrire pour le Web, ce n’est pas la même chose qu’écrire sur un papier car il faut réfléchir aux mots-clés utilisés par les internautes et les intégrer dans la publication afin qu’ils soient repérables par les moteurs de recherche.</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Les formats digitaux</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On recense, du moins puissant au plus puissant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textes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enregistrements sonores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images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vidéos.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Focus sur le format vidéo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de 70 % des Français déclarent regarder des vidéos sur Internet. Les marques s’adaptent et soignent le contenu par l’écriture de scripts vidéo qui exposent chaque plan, chaque scène, avec des messages, des dialogues et des animations.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script efficace doit répondre aux questions suivantes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quelle est la cible ? Particulier, professionnel…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quel est son besoin ? Le problème rencontré par la cible et qu’elle aimerait résoudre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comment se sent-il à ce sujet ? Fatigué, fâché, déçu, frustré, inquiet…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 voulez-vous qu'il sache après avoir regardé la vidéo ? L’idée principale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 voulez-vous qu'il fasse après avoir vu la vidéo ? Un clic, un appel.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L’accroche doit annoncer dès le début de la vidéo l’idée centrale du message. L’insertion d’un bouton call to action à la fin de la vidéo doit inviter les internautes à réagir et à se diriger vers un site Web, une landing page…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durée de la vidéo ne doit pas excéder 3 minutes.</w:t>
      </w:r>
    </w:p>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La landing page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landing page, ou page d’atterrissage, a pour objectif de convertir le simple visiteur, venant d’Internet suite au clic sur un lien, en lead, en lui proposant de faire quelque chose : bénéficier d’une promotion, télécharger un livre blanc, s’inscrire à une newsletter, participer à un concours, etc. La landing page permet également de collecter des adresses mails. À la différence de la page d’accueil d’un site Web qui a pour objectif d’informer et de véhiculer l’image, la landing page incite à agir.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landing page réussie s’inspire des règles du marketing direct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attirer l’attention : le titre du message doit retenir l’attention et inciter le visiteur à lire le reste du message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susciter l’intérêt : une offre claire et intéressante comme « Cliquez-ici pour bénéficier de la réduction de 20 % ». Il faut éviter tous les éléments qui peuvent distraire les visiteurs en détournant leur attention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provoquer le désir : un visuel (image, vidéo, infographie…) retient plus l’attention. L’intégration de la vidéo dans le message favorise le référencement sur les moteurs de recherche et augmente la conversion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déclencher l’action : intégrer un bouton call to action qui doit être bien visible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tester le message et en comparer plusieurs versions afin de déterminer la plus efficace auprès de la cible.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2">
      <w:pPr>
        <w:keepNext w:val="1"/>
        <w:keepLines w:val="1"/>
        <w:widowControl w:val="0"/>
        <w:spacing w:after="397" w:lineRule="auto"/>
        <w:ind w:left="1417"/>
        <w:rPr>
          <w:rFonts w:ascii="GuidePedagoArial" w:cs="GuidePedagoArial" w:eastAsia="GuidePedagoArial" w:hAnsi="GuidePedagoArial"/>
          <w:sz w:val="48"/>
          <w:szCs w:val="48"/>
        </w:rPr>
      </w:pPr>
      <w:r w:rsidDel="00000000" w:rsidR="00000000" w:rsidRPr="00000000">
        <w:rPr>
          <w:rFonts w:ascii="GuidePedagoArial" w:cs="GuidePedagoArial" w:eastAsia="GuidePedagoArial" w:hAnsi="GuidePedagoArial"/>
          <w:sz w:val="48"/>
          <w:szCs w:val="48"/>
          <w:rtl w:val="0"/>
        </w:rPr>
        <w:t xml:space="preserve">B utiliser les réseaux sociaux </w:t>
      </w:r>
    </w:p>
    <w:p w:rsidR="00000000" w:rsidDel="00000000" w:rsidP="00000000" w:rsidRDefault="00000000" w:rsidRPr="00000000" w14:paraId="00000033">
      <w:pPr>
        <w:rPr>
          <w:rFonts w:ascii="GuidePedagogique" w:cs="GuidePedagogique" w:eastAsia="GuidePedagogique" w:hAnsi="GuidePedagogique"/>
          <w:sz w:val="22"/>
          <w:szCs w:val="22"/>
        </w:rPr>
      </w:pPr>
      <w:r w:rsidDel="00000000" w:rsidR="00000000" w:rsidRPr="00000000">
        <w:rPr>
          <w:rtl w:val="0"/>
        </w:rPr>
        <w:t xml:space="preserve">La </w:t>
      </w:r>
      <w:r w:rsidDel="00000000" w:rsidR="00000000" w:rsidRPr="00000000">
        <w:rPr>
          <w:rFonts w:ascii="GuidePedagogique" w:cs="GuidePedagogique" w:eastAsia="GuidePedagogique" w:hAnsi="GuidePedagogique"/>
          <w:sz w:val="22"/>
          <w:szCs w:val="22"/>
          <w:rtl w:val="0"/>
        </w:rPr>
        <w:t xml:space="preserve">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000000" w:rsidDel="00000000" w:rsidP="00000000" w:rsidRDefault="00000000" w:rsidRPr="00000000" w14:paraId="00000034">
      <w:pPr>
        <w:keepNext w:val="1"/>
        <w:keepLines w:val="1"/>
        <w:widowControl w:val="0"/>
        <w:tabs>
          <w:tab w:val="left" w:leader="none"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w:t>
        <w:tab/>
        <w:t xml:space="preserve">Définir une stratégie social média</w:t>
      </w:r>
    </w:p>
    <w:p w:rsidR="00000000" w:rsidDel="00000000" w:rsidP="00000000" w:rsidRDefault="00000000" w:rsidRPr="00000000" w14:paraId="00000035">
      <w:pPr>
        <w:keepNext w:val="1"/>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1. Se fixer des objectifs social média précis et mesurables</w:t>
      </w:r>
    </w:p>
    <w:p w:rsidR="00000000" w:rsidDel="00000000" w:rsidP="00000000" w:rsidRDefault="00000000" w:rsidRPr="00000000" w14:paraId="0000003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Exemple : attirer de nouveaux clients, développer la notoriété, entretenir une relation client et dialoguer avec les communautés pour connaître leurs attentes, recruter des collaborateurs.</w:t>
      </w:r>
    </w:p>
    <w:p w:rsidR="00000000" w:rsidDel="00000000" w:rsidP="00000000" w:rsidRDefault="00000000" w:rsidRPr="00000000" w14:paraId="00000037">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Être présent sur les réseaux sociaux, c’est interagir avec ses fans, renouveler le contenu, susciter les intérêts en créant des contenus originaux.</w:t>
      </w:r>
    </w:p>
    <w:p w:rsidR="00000000" w:rsidDel="00000000" w:rsidP="00000000" w:rsidRDefault="00000000" w:rsidRPr="00000000" w14:paraId="0000003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storytelling, les images, les vidéos accrochent mieux qu’un texte. Les contenus utiles, les événements, les interactions, les promotions provoquent mieux le désir que les catalogues.</w:t>
      </w:r>
    </w:p>
    <w:p w:rsidR="00000000" w:rsidDel="00000000" w:rsidP="00000000" w:rsidRDefault="00000000" w:rsidRPr="00000000" w14:paraId="00000039">
      <w:pPr>
        <w:keepNext w:val="1"/>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2. Définir sa persona marketing</w:t>
      </w:r>
    </w:p>
    <w:p w:rsidR="00000000" w:rsidDel="00000000" w:rsidP="00000000" w:rsidRDefault="00000000" w:rsidRPr="00000000" w14:paraId="0000003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Un persona Marketing est un personnage fictif qui représente un groupe cible ayant des comportements et des motivations similaires. Il est généralement doté d’un prénom et de caractéristiques psychologiques et sociales. La construction du persona se fait à partir d’informations recueillies par questionnaire, entretien, brainstorming, interrogation des commerciaux, etc.</w:t>
      </w:r>
    </w:p>
    <w:p w:rsidR="00000000" w:rsidDel="00000000" w:rsidP="00000000" w:rsidRDefault="00000000" w:rsidRPr="00000000" w14:paraId="0000003B">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Exemple : un persona pour le lancement d’un nouveau maquillage express destiné aux jeunes femmes actives pourrait être « Jennifer, 30 ans, 1 enfant, citadine, cadre, qui suit la mode, hyperactive, accro au smartphone… ».</w:t>
      </w:r>
    </w:p>
    <w:p w:rsidR="00000000" w:rsidDel="00000000" w:rsidP="00000000" w:rsidRDefault="00000000" w:rsidRPr="00000000" w14:paraId="0000003C">
      <w:pPr>
        <w:keepNext w:val="1"/>
        <w:keepLines w:val="1"/>
        <w:widowControl w:val="0"/>
        <w:tabs>
          <w:tab w:val="left" w:leader="none"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w:t>
        <w:tab/>
        <w:t xml:space="preserve">Choisir les réseaux sociaux adaptés</w:t>
      </w:r>
    </w:p>
    <w:p w:rsidR="00000000" w:rsidDel="00000000" w:rsidP="00000000" w:rsidRDefault="00000000" w:rsidRPr="00000000" w14:paraId="0000003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réseaux sociaux présentent des caractéristiques techniques et sociales différentes selon les cibles. </w:t>
      </w:r>
    </w:p>
    <w:p w:rsidR="00000000" w:rsidDel="00000000" w:rsidP="00000000" w:rsidRDefault="00000000" w:rsidRPr="00000000" w14:paraId="0000003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L’entreprise doit choisir les réseaux sociaux les mieux adaptés à sa cible et aux objectifs fixés.</w:t>
      </w:r>
    </w:p>
    <w:p w:rsidR="00000000" w:rsidDel="00000000" w:rsidP="00000000" w:rsidRDefault="00000000" w:rsidRPr="00000000" w14:paraId="0000003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On ne communique pas avec des jeunes sur Snapchat ou Instagram comme avec des CSP + sur Twitter ou LinkedIn.</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réseaux sociaux les plus fréquentés sont (source : juin 2017) :</w:t>
      </w:r>
    </w:p>
    <w:p w:rsidR="00000000" w:rsidDel="00000000" w:rsidP="00000000" w:rsidRDefault="00000000" w:rsidRPr="00000000" w14:paraId="0000004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3">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Facebook </w:t>
      </w:r>
    </w:p>
    <w:p w:rsidR="00000000" w:rsidDel="00000000" w:rsidP="00000000" w:rsidRDefault="00000000" w:rsidRPr="00000000" w14:paraId="0000004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Premier réseau social au monde avec 2 milliards d’utilisateurs dans le monde et 33 millions d’utilisateurs actifs par mois en France dont 48 % d’hommes et 52 % de femmes. 29 % des utilisateurs sont âgés de 20 à 29 ans. 18 millions se connectent avec un smartphone et y passent 50 mn en moyenne par jour. Facebook permet de cibler les utilisateurs selon des critères socio-démographiques et géographiques, en fonction de leurs centres d’intérêt et de leur comportement.</w:t>
      </w:r>
    </w:p>
    <w:p w:rsidR="00000000" w:rsidDel="00000000" w:rsidP="00000000" w:rsidRDefault="00000000" w:rsidRPr="00000000" w14:paraId="0000004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Twitter</w:t>
      </w:r>
    </w:p>
    <w:p w:rsidR="00000000" w:rsidDel="00000000" w:rsidP="00000000" w:rsidRDefault="00000000" w:rsidRPr="00000000" w14:paraId="00000047">
      <w:pPr>
        <w:rPr>
          <w:rFonts w:ascii="GuidePedagogique" w:cs="GuidePedagogique" w:eastAsia="GuidePedagogique" w:hAnsi="GuidePedagogique"/>
          <w:sz w:val="22"/>
          <w:szCs w:val="22"/>
        </w:rPr>
      </w:pPr>
      <w:bookmarkStart w:colFirst="0" w:colLast="0" w:name="_gjdgxs" w:id="0"/>
      <w:bookmarkEnd w:id="0"/>
      <w:r w:rsidDel="00000000" w:rsidR="00000000" w:rsidRPr="00000000">
        <w:rPr>
          <w:rFonts w:ascii="GuidePedagogique" w:cs="GuidePedagogique" w:eastAsia="GuidePedagogique" w:hAnsi="GuidePedagogique"/>
          <w:sz w:val="22"/>
          <w:szCs w:val="22"/>
          <w:rtl w:val="0"/>
        </w:rPr>
        <w:t xml:space="preserve">Environ 330 millions d’utilisateurs dans le monde et environ 8 millions en France dont 55 % d’hommes et 45 % de femmes. Les 25-34 ans représentent environ 25 % des utilisateurs. Les publications sont simples avec un nombre de caractères réduits. Twitter n’est pas un réseau grand public en France puisqu’on y retrouve majoritairement des CSP+, des hommes politiques, des journalistes, des sportifs, des personnalités artistiques et des cadres. C’est un média idéal pour toucher les leaders d’opinion et les prescripteurs.</w:t>
      </w:r>
    </w:p>
    <w:p w:rsidR="00000000" w:rsidDel="00000000" w:rsidP="00000000" w:rsidRDefault="00000000" w:rsidRPr="00000000" w14:paraId="00000048">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9">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Snapchat</w:t>
      </w:r>
    </w:p>
    <w:p w:rsidR="00000000" w:rsidDel="00000000" w:rsidP="00000000" w:rsidRDefault="00000000" w:rsidRPr="00000000" w14:paraId="0000004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Environ 170 millions d’utilisateurs par jour, c’est le réseau préféré des adolescents qui y partagent photos et vidéos. En France, on dénombre plus de 10 millions d’utilisateurs dont plus de 60 % de femmes. Les jeunes de moins de 25 ans sont environ 50 % et les 25-34 ans représentent 30 %. Les enseignes utilisent ce réseau pour diffuser des petits messages de promo, inciter au partage de coupons et d’offres spéciales. </w:t>
      </w:r>
    </w:p>
    <w:p w:rsidR="00000000" w:rsidDel="00000000" w:rsidP="00000000" w:rsidRDefault="00000000" w:rsidRPr="00000000" w14:paraId="0000004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Instagram</w:t>
      </w:r>
    </w:p>
    <w:p w:rsidR="00000000" w:rsidDel="00000000" w:rsidP="00000000" w:rsidRDefault="00000000" w:rsidRPr="00000000" w14:paraId="0000004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Réseau de partage de photos et vidéos qui avoisine les 800 millions d’utilisateurs dans le monde. Il est très fréquenté par les jeunes en majorité âgés de moins de 25 ans, soit environ 40 % et qui y passent en moyenne 30 mn par jour. Les 25-34 ans représentent de 30 à 35 %. On dénombre plus de 10 millions d’utilisateurs en France dont 55 % d’hommes et 45 % de femmes. Plus de 90 millions de vidéos sont postées chaque jour sur Instagram.</w:t>
      </w:r>
    </w:p>
    <w:p w:rsidR="00000000" w:rsidDel="00000000" w:rsidP="00000000" w:rsidRDefault="00000000" w:rsidRPr="00000000" w14:paraId="0000004E">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YouTube</w:t>
      </w:r>
    </w:p>
    <w:p w:rsidR="00000000" w:rsidDel="00000000" w:rsidP="00000000" w:rsidRDefault="00000000" w:rsidRPr="00000000" w14:paraId="0000005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Environ 1,5 milliard de personnes consultent sur YouTube chaque mois. 35 millions de Français visitent YouTube chaque mois. Les 15-24 ans représentent 17 % et les 25-49 ans, 48%. Plus de 60 % des utilisateurs regardent YouTube à partir de leur smartphone. Les vidéos qui passionnent le plus sont la musique, le lifestyle (beauté, santé, cuisine, mode…), le sport et le bricolage. 60 % des personnes qui regardent une vidéo en parlent ou la partagent. Plus de 30 % des acheteurs d’un produit ont visionné une vidéo sur YouTube avant d’acheter celui-ci.</w:t>
      </w:r>
    </w:p>
    <w:p w:rsidR="00000000" w:rsidDel="00000000" w:rsidP="00000000" w:rsidRDefault="00000000" w:rsidRPr="00000000" w14:paraId="00000051">
      <w:pPr>
        <w:keepNext w:val="1"/>
        <w:keepLines w:val="1"/>
        <w:widowControl w:val="0"/>
        <w:tabs>
          <w:tab w:val="left" w:leader="none" w:pos="560"/>
        </w:tabs>
        <w:spacing w:after="113" w:before="340" w:lineRule="auto"/>
        <w:ind w:left="567"/>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2">
      <w:pPr>
        <w:keepNext w:val="1"/>
        <w:keepLines w:val="1"/>
        <w:widowControl w:val="0"/>
        <w:tabs>
          <w:tab w:val="left" w:leader="none" w:pos="560"/>
        </w:tabs>
        <w:spacing w:after="113" w:before="340" w:lineRule="auto"/>
        <w:ind w:left="567"/>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3">
      <w:pPr>
        <w:keepNext w:val="1"/>
        <w:keepLines w:val="1"/>
        <w:widowControl w:val="0"/>
        <w:tabs>
          <w:tab w:val="left" w:leader="none" w:pos="560"/>
        </w:tabs>
        <w:spacing w:after="113" w:before="340" w:lineRule="auto"/>
        <w:ind w:left="567"/>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4">
      <w:pPr>
        <w:keepNext w:val="1"/>
        <w:keepLines w:val="1"/>
        <w:widowControl w:val="0"/>
        <w:tabs>
          <w:tab w:val="left" w:leader="none" w:pos="560"/>
        </w:tabs>
        <w:spacing w:after="113" w:before="340" w:lineRule="auto"/>
        <w:ind w:left="0" w:firstLine="0"/>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5">
      <w:pPr>
        <w:keepNext w:val="1"/>
        <w:keepLines w:val="1"/>
        <w:widowControl w:val="0"/>
        <w:tabs>
          <w:tab w:val="left" w:leader="none" w:pos="560"/>
        </w:tabs>
        <w:spacing w:after="113" w:before="340" w:lineRule="auto"/>
        <w:ind w:left="0" w:firstLine="0"/>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6">
      <w:pPr>
        <w:keepNext w:val="1"/>
        <w:keepLines w:val="1"/>
        <w:widowControl w:val="0"/>
        <w:tabs>
          <w:tab w:val="left" w:leader="none" w:pos="560"/>
        </w:tabs>
        <w:spacing w:after="113" w:before="340" w:lineRule="auto"/>
        <w:ind w:left="0" w:firstLine="0"/>
        <w:rPr>
          <w:rFonts w:ascii="GuidePedagogique" w:cs="GuidePedagogique" w:eastAsia="GuidePedagogique" w:hAnsi="GuidePedagogique"/>
          <w:sz w:val="25"/>
          <w:szCs w:val="25"/>
        </w:rPr>
      </w:pPr>
      <w:r w:rsidDel="00000000" w:rsidR="00000000" w:rsidRPr="00000000">
        <w:rPr>
          <w:rtl w:val="0"/>
        </w:rPr>
      </w:r>
    </w:p>
    <w:p w:rsidR="00000000" w:rsidDel="00000000" w:rsidP="00000000" w:rsidRDefault="00000000" w:rsidRPr="00000000" w14:paraId="00000057">
      <w:pPr>
        <w:keepNext w:val="1"/>
        <w:keepLines w:val="1"/>
        <w:widowControl w:val="0"/>
        <w:tabs>
          <w:tab w:val="left" w:leader="none" w:pos="560"/>
        </w:tabs>
        <w:spacing w:after="113" w:before="340" w:lineRule="auto"/>
        <w:ind w:left="0" w:firstLine="0"/>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III</w:t>
        <w:tab/>
        <w:t xml:space="preserve">Adopter une stratégie de contenu efficace</w:t>
      </w:r>
    </w:p>
    <w:p w:rsidR="00000000" w:rsidDel="00000000" w:rsidP="00000000" w:rsidRDefault="00000000" w:rsidRPr="00000000" w14:paraId="0000005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L’attention est difficile à capter sur les réseaux sociaux, il faut donc créer des contenus originaux et qui favorisent l’interaction.</w:t>
      </w:r>
    </w:p>
    <w:p w:rsidR="00000000" w:rsidDel="00000000" w:rsidP="00000000" w:rsidRDefault="00000000" w:rsidRPr="00000000" w14:paraId="00000059">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format d’un contenu doit être varié (photos, vidéos…) ainsi que le ton adopté (humour, anecdotes, story-telling…).</w:t>
      </w:r>
    </w:p>
    <w:p w:rsidR="00000000" w:rsidDel="00000000" w:rsidP="00000000" w:rsidRDefault="00000000" w:rsidRPr="00000000" w14:paraId="0000005A">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B">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000000" w:rsidDel="00000000" w:rsidP="00000000" w:rsidRDefault="00000000" w:rsidRPr="00000000" w14:paraId="0000005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calendrier éditorial mentionne en général les éléments suivants :</w:t>
      </w:r>
    </w:p>
    <w:p w:rsidR="00000000" w:rsidDel="00000000" w:rsidP="00000000" w:rsidRDefault="00000000" w:rsidRPr="00000000" w14:paraId="0000005D">
      <w:pPr>
        <w:rPr>
          <w:rFonts w:ascii="GuidePedagogique" w:cs="GuidePedagogique" w:eastAsia="GuidePedagogique" w:hAnsi="GuidePedagogique"/>
          <w:sz w:val="22"/>
          <w:szCs w:val="22"/>
        </w:rPr>
      </w:pPr>
      <w:r w:rsidDel="00000000" w:rsidR="00000000" w:rsidRPr="00000000">
        <w:rPr>
          <w:rtl w:val="0"/>
        </w:rPr>
      </w:r>
    </w:p>
    <w:tbl>
      <w:tblPr>
        <w:tblStyle w:val="Table1"/>
        <w:tblW w:w="10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936"/>
        <w:gridCol w:w="938"/>
        <w:gridCol w:w="1249"/>
        <w:gridCol w:w="1561"/>
        <w:gridCol w:w="1718"/>
        <w:gridCol w:w="1249"/>
        <w:gridCol w:w="1559"/>
        <w:tblGridChange w:id="0">
          <w:tblGrid>
            <w:gridCol w:w="1212"/>
            <w:gridCol w:w="936"/>
            <w:gridCol w:w="938"/>
            <w:gridCol w:w="1249"/>
            <w:gridCol w:w="1561"/>
            <w:gridCol w:w="1718"/>
            <w:gridCol w:w="1249"/>
            <w:gridCol w:w="1559"/>
          </w:tblGrid>
        </w:tblGridChange>
      </w:tblGrid>
      <w:tr>
        <w:trPr>
          <w:cantSplit w:val="0"/>
          <w:trHeight w:val="543" w:hRule="atLeast"/>
          <w:tblHeader w:val="0"/>
        </w:trPr>
        <w:tc>
          <w:tcPr/>
          <w:p w:rsidR="00000000" w:rsidDel="00000000" w:rsidP="00000000" w:rsidRDefault="00000000" w:rsidRPr="00000000" w14:paraId="0000005E">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Réseaux</w:t>
            </w:r>
          </w:p>
        </w:tc>
        <w:tc>
          <w:tcPr/>
          <w:p w:rsidR="00000000" w:rsidDel="00000000" w:rsidP="00000000" w:rsidRDefault="00000000" w:rsidRPr="00000000" w14:paraId="0000005F">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Date et heure</w:t>
            </w:r>
          </w:p>
        </w:tc>
        <w:tc>
          <w:tcPr/>
          <w:p w:rsidR="00000000" w:rsidDel="00000000" w:rsidP="00000000" w:rsidRDefault="00000000" w:rsidRPr="00000000" w14:paraId="00000060">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Auteur</w:t>
            </w:r>
          </w:p>
        </w:tc>
        <w:tc>
          <w:tcPr/>
          <w:p w:rsidR="00000000" w:rsidDel="00000000" w:rsidP="00000000" w:rsidRDefault="00000000" w:rsidRPr="00000000" w14:paraId="00000061">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Titre du post</w:t>
            </w:r>
          </w:p>
        </w:tc>
        <w:tc>
          <w:tcPr/>
          <w:p w:rsidR="00000000" w:rsidDel="00000000" w:rsidP="00000000" w:rsidRDefault="00000000" w:rsidRPr="00000000" w14:paraId="00000062">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Objectif du post</w:t>
            </w:r>
          </w:p>
        </w:tc>
        <w:tc>
          <w:tcPr/>
          <w:p w:rsidR="00000000" w:rsidDel="00000000" w:rsidP="00000000" w:rsidRDefault="00000000" w:rsidRPr="00000000" w14:paraId="00000063">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Contenu (avec accroche)</w:t>
            </w:r>
          </w:p>
        </w:tc>
        <w:tc>
          <w:tcPr/>
          <w:p w:rsidR="00000000" w:rsidDel="00000000" w:rsidP="00000000" w:rsidRDefault="00000000" w:rsidRPr="00000000" w14:paraId="00000064">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Média</w:t>
            </w:r>
          </w:p>
        </w:tc>
        <w:tc>
          <w:tcPr/>
          <w:p w:rsidR="00000000" w:rsidDel="00000000" w:rsidP="00000000" w:rsidRDefault="00000000" w:rsidRPr="00000000" w14:paraId="00000065">
            <w:pPr>
              <w:widowControl w:val="0"/>
              <w:jc w:val="center"/>
              <w:rPr>
                <w:rFonts w:ascii="GuidePedagoNCond" w:cs="GuidePedagoNCond" w:eastAsia="GuidePedagoNCond" w:hAnsi="GuidePedagoNCond"/>
                <w:b w:val="1"/>
                <w:bCs w:val="1"/>
                <w:sz w:val="16"/>
                <w:szCs w:val="16"/>
              </w:rPr>
            </w:pPr>
            <w:r w:rsidDel="00000000" w:rsidR="00000000" w:rsidRPr="00000000">
              <w:rPr>
                <w:rFonts w:ascii="GuidePedagoNCond" w:cs="GuidePedagoNCond" w:eastAsia="GuidePedagoNCond" w:hAnsi="GuidePedagoNCond"/>
                <w:b w:val="1"/>
                <w:bCs w:val="1"/>
                <w:sz w:val="16"/>
                <w:szCs w:val="16"/>
                <w:rtl w:val="0"/>
              </w:rPr>
              <w:t xml:space="preserve">Mots-clés</w:t>
            </w:r>
          </w:p>
        </w:tc>
      </w:tr>
      <w:tr>
        <w:trPr>
          <w:cantSplit w:val="0"/>
          <w:tblHeader w:val="0"/>
        </w:trPr>
        <w:tc>
          <w:tcPr>
            <w:shd w:fill="auto" w:val="clear"/>
          </w:tcPr>
          <w:p w:rsidR="00000000" w:rsidDel="00000000" w:rsidP="00000000" w:rsidRDefault="00000000" w:rsidRPr="00000000" w14:paraId="00000066">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Facebook</w:t>
            </w:r>
          </w:p>
        </w:tc>
        <w:tc>
          <w:tcPr>
            <w:shd w:fill="auto" w:val="clear"/>
          </w:tcPr>
          <w:p w:rsidR="00000000" w:rsidDel="00000000" w:rsidP="00000000" w:rsidRDefault="00000000" w:rsidRPr="00000000" w14:paraId="00000067">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12.01</w:t>
            </w:r>
          </w:p>
          <w:p w:rsidR="00000000" w:rsidDel="00000000" w:rsidP="00000000" w:rsidRDefault="00000000" w:rsidRPr="00000000" w14:paraId="00000068">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9 heures</w:t>
            </w:r>
          </w:p>
        </w:tc>
        <w:tc>
          <w:tcPr>
            <w:shd w:fill="auto" w:val="clear"/>
          </w:tcPr>
          <w:p w:rsidR="00000000" w:rsidDel="00000000" w:rsidP="00000000" w:rsidRDefault="00000000" w:rsidRPr="00000000" w14:paraId="00000069">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Jules</w:t>
            </w:r>
          </w:p>
        </w:tc>
        <w:tc>
          <w:tcPr>
            <w:shd w:fill="auto" w:val="clear"/>
          </w:tcPr>
          <w:p w:rsidR="00000000" w:rsidDel="00000000" w:rsidP="00000000" w:rsidRDefault="00000000" w:rsidRPr="00000000" w14:paraId="0000006A">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Réduire votre facture</w:t>
            </w:r>
          </w:p>
        </w:tc>
        <w:tc>
          <w:tcPr>
            <w:shd w:fill="auto" w:val="clear"/>
          </w:tcPr>
          <w:p w:rsidR="00000000" w:rsidDel="00000000" w:rsidP="00000000" w:rsidRDefault="00000000" w:rsidRPr="00000000" w14:paraId="0000006B">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Sensibiliser sur les économies d’énergie</w:t>
            </w:r>
          </w:p>
        </w:tc>
        <w:tc>
          <w:tcPr>
            <w:shd w:fill="auto" w:val="clear"/>
          </w:tcPr>
          <w:p w:rsidR="00000000" w:rsidDel="00000000" w:rsidP="00000000" w:rsidRDefault="00000000" w:rsidRPr="00000000" w14:paraId="0000006C">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Faites plaisir à la planète et à votre portefeuille !</w:t>
            </w:r>
          </w:p>
        </w:tc>
        <w:tc>
          <w:tcPr>
            <w:shd w:fill="auto" w:val="clear"/>
          </w:tcPr>
          <w:p w:rsidR="00000000" w:rsidDel="00000000" w:rsidP="00000000" w:rsidRDefault="00000000" w:rsidRPr="00000000" w14:paraId="0000006D">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Vidéo (lien sur notre chaîne YouTube)</w:t>
            </w:r>
          </w:p>
        </w:tc>
        <w:tc>
          <w:tcPr>
            <w:shd w:fill="auto" w:val="clear"/>
          </w:tcPr>
          <w:p w:rsidR="00000000" w:rsidDel="00000000" w:rsidP="00000000" w:rsidRDefault="00000000" w:rsidRPr="00000000" w14:paraId="0000006E">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Pompe à chaleur, économie, protection</w:t>
            </w:r>
          </w:p>
        </w:tc>
      </w:tr>
      <w:tr>
        <w:trPr>
          <w:cantSplit w:val="0"/>
          <w:tblHeader w:val="0"/>
        </w:trPr>
        <w:tc>
          <w:tcPr>
            <w:shd w:fill="auto" w:val="clear"/>
          </w:tcPr>
          <w:p w:rsidR="00000000" w:rsidDel="00000000" w:rsidP="00000000" w:rsidRDefault="00000000" w:rsidRPr="00000000" w14:paraId="0000006F">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Twitter</w:t>
            </w:r>
          </w:p>
          <w:p w:rsidR="00000000" w:rsidDel="00000000" w:rsidP="00000000" w:rsidRDefault="00000000" w:rsidRPr="00000000" w14:paraId="00000070">
            <w:pPr>
              <w:widowControl w:val="0"/>
              <w:jc w:val="center"/>
              <w:rPr>
                <w:rFonts w:ascii="GuidePedagoNCond" w:cs="GuidePedagoNCond" w:eastAsia="GuidePedagoNCond" w:hAnsi="GuidePedagoNCond"/>
                <w:sz w:val="16"/>
                <w:szCs w:val="16"/>
              </w:rPr>
            </w:pPr>
            <w:r w:rsidDel="00000000" w:rsidR="00000000" w:rsidRPr="00000000">
              <w:rPr>
                <w:rtl w:val="0"/>
              </w:rPr>
            </w:r>
          </w:p>
        </w:tc>
        <w:tc>
          <w:tcPr>
            <w:shd w:fill="auto" w:val="clear"/>
          </w:tcPr>
          <w:p w:rsidR="00000000" w:rsidDel="00000000" w:rsidP="00000000" w:rsidRDefault="00000000" w:rsidRPr="00000000" w14:paraId="00000071">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12.01</w:t>
            </w:r>
          </w:p>
          <w:p w:rsidR="00000000" w:rsidDel="00000000" w:rsidP="00000000" w:rsidRDefault="00000000" w:rsidRPr="00000000" w14:paraId="00000072">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13 heures</w:t>
            </w:r>
          </w:p>
        </w:tc>
        <w:tc>
          <w:tcPr>
            <w:shd w:fill="auto" w:val="clear"/>
          </w:tcPr>
          <w:p w:rsidR="00000000" w:rsidDel="00000000" w:rsidP="00000000" w:rsidRDefault="00000000" w:rsidRPr="00000000" w14:paraId="00000073">
            <w:pPr>
              <w:widowControl w:val="0"/>
              <w:jc w:val="center"/>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74">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Marc</w:t>
            </w:r>
          </w:p>
        </w:tc>
        <w:tc>
          <w:tcPr>
            <w:shd w:fill="auto" w:val="clear"/>
          </w:tcPr>
          <w:p w:rsidR="00000000" w:rsidDel="00000000" w:rsidP="00000000" w:rsidRDefault="00000000" w:rsidRPr="00000000" w14:paraId="00000075">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Se chauffer intelligent</w:t>
            </w:r>
          </w:p>
        </w:tc>
        <w:tc>
          <w:tcPr>
            <w:shd w:fill="auto" w:val="clear"/>
          </w:tcPr>
          <w:p w:rsidR="00000000" w:rsidDel="00000000" w:rsidP="00000000" w:rsidRDefault="00000000" w:rsidRPr="00000000" w14:paraId="00000076">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Responsabiliser les CSP +</w:t>
            </w:r>
          </w:p>
        </w:tc>
        <w:tc>
          <w:tcPr>
            <w:shd w:fill="auto" w:val="clear"/>
          </w:tcPr>
          <w:p w:rsidR="00000000" w:rsidDel="00000000" w:rsidP="00000000" w:rsidRDefault="00000000" w:rsidRPr="00000000" w14:paraId="00000077">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Protéger l’environnement est notre responsabilité.</w:t>
            </w:r>
          </w:p>
        </w:tc>
        <w:tc>
          <w:tcPr>
            <w:shd w:fill="auto" w:val="clear"/>
          </w:tcPr>
          <w:p w:rsidR="00000000" w:rsidDel="00000000" w:rsidP="00000000" w:rsidRDefault="00000000" w:rsidRPr="00000000" w14:paraId="00000078">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Photo.Img</w:t>
            </w:r>
          </w:p>
          <w:p w:rsidR="00000000" w:rsidDel="00000000" w:rsidP="00000000" w:rsidRDefault="00000000" w:rsidRPr="00000000" w14:paraId="00000079">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001/18</w:t>
            </w:r>
          </w:p>
        </w:tc>
        <w:tc>
          <w:tcPr>
            <w:shd w:fill="auto" w:val="clear"/>
          </w:tcPr>
          <w:p w:rsidR="00000000" w:rsidDel="00000000" w:rsidP="00000000" w:rsidRDefault="00000000" w:rsidRPr="00000000" w14:paraId="0000007A">
            <w:pPr>
              <w:widowControl w:val="0"/>
              <w:jc w:val="center"/>
              <w:rPr>
                <w:rFonts w:ascii="GuidePedagoNCond" w:cs="GuidePedagoNCond" w:eastAsia="GuidePedagoNCond" w:hAnsi="GuidePedagoNCond"/>
                <w:sz w:val="16"/>
                <w:szCs w:val="16"/>
              </w:rPr>
            </w:pPr>
            <w:r w:rsidDel="00000000" w:rsidR="00000000" w:rsidRPr="00000000">
              <w:rPr>
                <w:rFonts w:ascii="GuidePedagoNCond" w:cs="GuidePedagoNCond" w:eastAsia="GuidePedagoNCond" w:hAnsi="GuidePedagoNCond"/>
                <w:sz w:val="16"/>
                <w:szCs w:val="16"/>
                <w:rtl w:val="0"/>
              </w:rPr>
              <w:t xml:space="preserve">Environnement, planète, pompe à chaleur, santé.</w:t>
            </w:r>
          </w:p>
        </w:tc>
      </w:tr>
    </w:tbl>
    <w:p w:rsidR="00000000" w:rsidDel="00000000" w:rsidP="00000000" w:rsidRDefault="00000000" w:rsidRPr="00000000" w14:paraId="0000007B">
      <w:pPr>
        <w:widowControl w:val="0"/>
        <w:jc w:val="both"/>
        <w:rPr>
          <w:rFonts w:ascii="GuidePedagoNCond" w:cs="GuidePedagoNCond" w:eastAsia="GuidePedagoNCond" w:hAnsi="GuidePedagoNCond"/>
          <w:sz w:val="16"/>
          <w:szCs w:val="1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GuidePedagoArial"/>
  <w:font w:name="Guide Pedago Arial"/>
  <w:font w:name="GuidePedagoNCond"/>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