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Pr>
      </w:pPr>
      <w:bookmarkStart w:colFirst="0" w:colLast="0" w:name="_gjdgxs" w:id="0"/>
      <w:bookmarkEnd w:id="0"/>
      <w:r w:rsidDel="00000000" w:rsidR="00000000" w:rsidRPr="00000000">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tl w:val="0"/>
        </w:rPr>
        <w:t xml:space="preserve">Synthèse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80" w:line="276" w:lineRule="auto"/>
        <w:ind w:left="0" w:right="0" w:firstLine="0"/>
        <w:jc w:val="left"/>
        <w:rPr>
          <w:rFonts w:ascii="GuidePedagoNCond-Bold" w:cs="GuidePedagoNCond-Bold" w:eastAsia="GuidePedagoNCond-Bold" w:hAnsi="GuidePedagoNCond-Bold"/>
          <w:b w:val="1"/>
          <w:bCs w:val="1"/>
          <w:i w:val="0"/>
          <w:iCs w:val="0"/>
          <w:smallCaps w:val="0"/>
          <w:strike w:val="0"/>
          <w:color w:val="000000"/>
          <w:sz w:val="27"/>
          <w:szCs w:val="27"/>
          <w:u w:val="none"/>
          <w:shd w:fill="auto" w:val="clear"/>
          <w:vertAlign w:val="baseline"/>
        </w:rPr>
      </w:pPr>
      <w:r w:rsidDel="00000000" w:rsidR="00000000" w:rsidRPr="00000000">
        <w:rPr>
          <w:rFonts w:ascii="GuidePedagoNCond-Bold" w:cs="GuidePedagoNCond-Bold" w:eastAsia="GuidePedagoNCond-Bold" w:hAnsi="GuidePedagoNCond-Bold"/>
          <w:b w:val="1"/>
          <w:bCs w:val="1"/>
          <w:i w:val="0"/>
          <w:iCs w:val="0"/>
          <w:smallCaps w:val="0"/>
          <w:strike w:val="0"/>
          <w:color w:val="000000"/>
          <w:sz w:val="27"/>
          <w:szCs w:val="27"/>
          <w:u w:val="none"/>
          <w:shd w:fill="auto" w:val="clear"/>
          <w:vertAlign w:val="baseline"/>
          <w:rtl w:val="0"/>
        </w:rPr>
        <w:t xml:space="preserve">Chapitre </w:t>
        <w:tab/>
        <w:t xml:space="preserve">Recruter et superviser une équipe de téléacteurs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uidePedagoNCond" w:cs="GuidePedagoNCond" w:eastAsia="GuidePedagoNCond" w:hAnsi="GuidePedagoNC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uidePedagoNCond" w:cs="GuidePedagoNCond" w:eastAsia="GuidePedagoNCond" w:hAnsi="GuidePedagoNCond"/>
          <w:b w:val="0"/>
          <w:bCs w:val="0"/>
          <w:i w:val="0"/>
          <w:iCs w:val="0"/>
          <w:smallCaps w:val="0"/>
          <w:strike w:val="0"/>
          <w:color w:val="000000"/>
          <w:sz w:val="22"/>
          <w:szCs w:val="22"/>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2"/>
          <w:szCs w:val="22"/>
          <w:u w:val="none"/>
          <w:shd w:fill="auto" w:val="clear"/>
          <w:vertAlign w:val="baseline"/>
          <w:rtl w:val="0"/>
        </w:rPr>
        <w:t xml:space="preserve">Le recrutement de téléacteurs dépend d’un processus structuré en plusieurs étapes qui doit aboutir à la constitution d’une équipe efficace et performante. Il est déclenché par le besoin d’embaucher de nouveaux téléacteurs.</w:t>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85" w:before="198" w:line="276" w:lineRule="auto"/>
        <w:ind w:left="0" w:right="0" w:firstLine="0"/>
        <w:jc w:val="left"/>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tl w:val="0"/>
        </w:rPr>
        <w:t xml:space="preserve">I.</w:t>
        <w:tab/>
        <w:t xml:space="preserve">Recruter des téléacteurs pour constituer une équipe et les intégrer</w:t>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left"/>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1. Définir et faire connaître le besoin en recrutement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besoin de recrutement peut être issu de facteurs externes ou internes à l’entreprise.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 principales origines de ce besoin sont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à l’externe, les facteurs liés à l’évolution du marché et de l’environnement de l’entreprise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à l’interne, les facteurs liés à l’activité, aux nouvelles compétences requises, à la démographie de l’entreprise, à la mobilité et l’évolution de carrière de ses employés.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 fois repéré, le besoin de recruter doit être exprimé afin que se déclenche le processus qui va permettre l’embauche de nouveaux téléacteurs. Selon la taille de l’entreprise et son organisation, c’est le plus souvent la direction du centre de relation clients ou la direction des ressources humaines qui décide des modalités et prend en charge le lancement de la procédure.</w:t>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left"/>
        <w:rPr>
          <w:rFonts w:ascii="Times" w:cs="Times" w:eastAsia="Times" w:hAnsi="Times"/>
          <w:b w:val="1"/>
          <w:bCs w:val="1"/>
          <w:sz w:val="23"/>
          <w:szCs w:val="23"/>
        </w:rPr>
      </w:pPr>
      <w:hyperlink r:id="rId6">
        <w:r w:rsidDel="00000000" w:rsidR="00000000" w:rsidRPr="00000000">
          <w:rPr>
            <w:rFonts w:ascii="Times" w:cs="Times" w:eastAsia="Times" w:hAnsi="Times"/>
            <w:b w:val="1"/>
            <w:bCs w:val="1"/>
            <w:color w:val="1155cc"/>
            <w:sz w:val="23"/>
            <w:szCs w:val="23"/>
            <w:u w:val="single"/>
            <w:rtl w:val="0"/>
          </w:rPr>
          <w:t xml:space="preserve">https://jamboard.google.com/d/1jqe-iHvJysZ-5kiTw52voqczUnDufIRHx-hzsISB624/edit?usp=sharing</w:t>
        </w:r>
      </w:hyperlink>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left"/>
        <w:rPr>
          <w:rFonts w:ascii="Times" w:cs="Times" w:eastAsia="Times" w:hAnsi="Times"/>
          <w:b w:val="1"/>
          <w:bCs w:val="1"/>
          <w:sz w:val="23"/>
          <w:szCs w:val="23"/>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left"/>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2. Recruter et respecter la législation du travail</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recrutement doit se faire dans le respect des règles précisant les droits et devoirs des recruteurs et des candidats : Code du travail, conventions collectives, règlement intérieur de l’entreprise, etc.</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législation du travail à laquelle il faut se conformer durant le recrutement porte essentiellement sur la discrimination à l’embauche, la période d’essai, le cas des mineurs, la situation des personnes porteuses de handicap, les modalités des différents contrats de travail.</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NB : Ces concepts peuvent être abordés en CEJM appliquée en les reliant aux thèmes 3 « L’organisation de l’activité de l’entreprise » ou 5 « Les mutations du travail » par exemple. Dans le cadre des ateliers de professionnalisation, des contrats de travail ou la convention collective peuvent être étudiés (Convention collective nationale du personnel des prestataires de services dans le domaine du secteur tertiaire et Textes Attachés relatifs aux salariés des centres d'appels).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budget défini pour le recrutement (« budget RH ») va contraindre les choix de méthodes à utiliser pour trouver le nouveau collaborateur. Il comporte les frais d’annonce (comment sera publiée l’offre), les frais de sélection (par qui sera faite la sélection), les frais liés à l’intégration (qui va former), etc.</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Pour recruter, il faut tout d’abord définir le poste à pourvoir (missions confiées, éléments de rémunération, hiérarchie, lieu d’exercice…) et le profil du candidat recherché (qualités, compétences, niveau de formation…).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 faut ensuite diffuser une offre d’emploi. L’entreprise le fait soit elle-même (affichage interne, site Internet…), soit en passant par un intermédiaire (Pôle Emploi, agences spécialisées, réseaux professionnels, et de plus en plus via les sites d’offres d’emploi - « jobboards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Une fois les candidatures arrivées, il est nécessaire de les trier (manuellement ou avec l’aide d’un logiciel spécialisé qui effectue une sélection par mots-clés) afin de ne conserver que celles qui correspondent au profil recherché.</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30j0zll" w:id="1"/>
      <w:bookmarkEnd w:id="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L’étape de la sélection se poursuit la plupart du temps avec un ou plusieurs entretiens (qui peuvent parfois se faire à distance ou en différé à l’appui d’une vidéo envoyée par le candidat au recruteur) et des étapes d’évaluation (assessment center) et/ou de tests psychotechniques, de logique, de personnalité, etc.</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 convient ensuite, à l’issue du processus de recrutement, de faire savoir au candidat qu’il a été retenu, puis de l’intégrer à sa nouvelle équipe de travail ; c’est souvent le rôle du superviseur.</w:t>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left"/>
        <w:rPr>
          <w:rFonts w:ascii="Times" w:cs="Times" w:eastAsia="Times" w:hAnsi="Times"/>
          <w:b w:val="1"/>
          <w:bCs w:val="1"/>
          <w:sz w:val="23"/>
          <w:szCs w:val="23"/>
        </w:rPr>
      </w:pPr>
      <w:r w:rsidDel="00000000" w:rsidR="00000000" w:rsidRPr="00000000">
        <w:rPr>
          <w:rtl w:val="0"/>
        </w:rPr>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left"/>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3. Intégrer le nouveau téléacteur</w:t>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w:cs="Times" w:eastAsia="Times" w:hAnsi="Times"/>
          <w:b w:val="1"/>
          <w:bCs w:val="1"/>
          <w:i w:val="0"/>
          <w:iCs w:val="0"/>
          <w:smallCaps w:val="0"/>
          <w:strike w:val="0"/>
          <w:color w:val="000000"/>
          <w:sz w:val="23"/>
          <w:szCs w:val="23"/>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L’intégration (ou « onboarding ») du nouveau téléacteur est la première étape de sa fidélisation. Les étapes de l’intégration se déroulent sur une ou plusieurs journées en fonction de ce qui est prévu par l’entreprise. Elles peuvent consister en : l’accueil du téléacteur le premier jour, sa prise de poste et la présentation des outils et supports mis à sa disposition, la découverte du métier et de la culture de l'entreprise, la rencontre avec son équipe de travail, etc.</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L’intégration peut prendre différentes formes en fonction de la durée du contrat par exemple :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intégration rapide, dématérialisée et automatisée à l’aide d’un logiciel ou d’une solution sur cloud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intégration classique et personnalisée, balisée par un suivi régulier et formalisé, conduite par le superviseur, un téléacteur expérimenté, etc.</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L’intégration est la première étape de la période d’essai mais elle ne consiste pas à évaluer le nouveau collaborateur. Sa finalité est de commencer à le fidéliser en lui faisant partager la culture et les valeurs de l’entreprise.</w:t>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85" w:before="198" w:line="276" w:lineRule="auto"/>
        <w:ind w:left="0" w:right="0" w:firstLine="0"/>
        <w:jc w:val="left"/>
        <w:rPr>
          <w:rFonts w:ascii="GuidePedagoNCond" w:cs="GuidePedagoNCond" w:eastAsia="GuidePedagoNCond" w:hAnsi="GuidePedagoNCond"/>
          <w:sz w:val="25"/>
          <w:szCs w:val="25"/>
        </w:rPr>
      </w:pPr>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85" w:before="198" w:line="276" w:lineRule="auto"/>
        <w:ind w:left="0" w:right="0" w:firstLine="0"/>
        <w:jc w:val="left"/>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tl w:val="0"/>
        </w:rPr>
        <w:t xml:space="preserve">II.</w:t>
        <w:tab/>
        <w:t xml:space="preserve">Superviser en fixant des objectifs</w:t>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left"/>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1. Superviser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développement commercial de l’entreprise dépend de la conquête de nouveaux clients. L’efficacité de l’équipe de téléacteurs revêt la plus grande importance dans ce contexte. Le superviseur, manager de proximité, a un rôle prépondérant dans son pilotage : il doit la superviser. Il utilise pour cela des techniques de management d’équipe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 dispositif de « double-écoute » qui lui permet d’évaluer la capacité du téléacteur à émettre ou recevoir des appels, accueillir, traiter la demande, etc., satisfaire le client.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les leviers de la motivation pour éviter le turn-over et développer le sentiment d’appartenance : mise à disposition d’un poste de travail agréable et confortable, activités de team-building pour développer l’esprit d’équipe, transmission des valeurs de l’entreprise (affichage de phrases-clés qui les illustrent…), instauration de rituels communs, etc.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les leviers de la stimulation (ou « incentive ») pour que les forces soient mobilisées et les objectifs atteints : challenges (chaque téléacteur pour remporter le challenge comme celui d’augmenter de 5 % ses ventes du mois précédent par exemple), concours (seuls les meilleurs peuvent remporter le concours comme les deux premiers téléacteurs à atteindre l’objectif de X ventes gagnent la récompense par exemple).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 problèmes de management les plus fréquemment rencontrés par les superviseurs sont la difficulté à recruter (pénurie de candidatures en raison du stress lié à la gestion des clients insatisfaits, des horaires flexibles, de la répétition des tâches, du contrôle continu des performances…), l’absentéisme et les retards. Seule une bonne qualité d’animation d’équipe peut limiter ces risques et permettre d’accroître la productivité dans une ambiance de travail agréable et respectueuse des règles.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Fixer des objectifs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superviseur joue un rôle d’encadrement et de conseil auprès de ses équipes mais il doit également être en mesure d’analyser les statistiques pour atteindre les résultats prévus quotidiennement pour la plateforme. Les objectifs fixés doivent avoir les qualités « SMART » d’un bon objectif.</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Pour mesurer la capacité de chaque téléacteur à atteindre les objectifs qui lui sont fixés, plusieurs outils sont à la disposition du superviseur :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tableaux de bord qui permettent de calculer et analyser des ratios de performance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tableaux de type « paper board » ou tableau blanc effaçable qui permettent un affichage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tableaux d’affichage électroniques montrant des données utiles : flux en temps réel du trafic, durée des appels, nombre de téléacteurs en ligne, temps d’appel avant décrochage, etc.</w:t>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133" w:top="1133" w:left="1133" w:right="1133"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uidePedagoArial"/>
  <w:font w:name="GuidePedagoNCond"/>
  <w:font w:name="GuidePedagoNCond-Bold"/>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68"/>
        <w:tab w:val="right" w:leader="none" w:pos="964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jamboard.google.com/d/1jqe-iHvJysZ-5kiTw52voqczUnDufIRHx-hzsISB624/edit?usp=sharing" TargetMode="External"/><Relationship Id="rId7" Type="http://schemas.openxmlformats.org/officeDocument/2006/relationships/header" Target="header1.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