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0"/>
        <w:pBdr>
          <w:top w:space="0" w:sz="0" w:val="nil"/>
          <w:left w:space="0" w:sz="0" w:val="nil"/>
          <w:bottom w:space="0" w:sz="0" w:val="nil"/>
          <w:right w:space="0" w:sz="0" w:val="nil"/>
          <w:between w:space="0" w:sz="0" w:val="nil"/>
        </w:pBdr>
        <w:shd w:fill="auto" w:val="clear"/>
        <w:spacing w:after="397" w:before="0" w:line="240" w:lineRule="auto"/>
        <w:ind w:left="1417" w:right="0" w:hanging="1417"/>
        <w:jc w:val="left"/>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Pr>
      </w:pPr>
      <w:r w:rsidDel="00000000" w:rsidR="00000000" w:rsidRPr="00000000">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tl w:val="0"/>
        </w:rPr>
        <w:t xml:space="preserve">Synthèse</w:t>
      </w:r>
    </w:p>
    <w:p w:rsidR="00000000" w:rsidDel="00000000" w:rsidP="00000000" w:rsidRDefault="00000000" w:rsidRPr="00000000" w14:paraId="0000000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680" w:line="240" w:lineRule="auto"/>
        <w:ind w:left="0" w:right="0" w:firstLine="0"/>
        <w:jc w:val="left"/>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Pr>
      </w:pPr>
      <w:r w:rsidDel="00000000" w:rsidR="00000000" w:rsidRPr="00000000">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tl w:val="0"/>
        </w:rPr>
        <w:t xml:space="preserve">Chapitre 18</w:t>
        <w:tab/>
        <w:t xml:space="preserve">Mesurer la performance commerciale digitale</w:t>
      </w:r>
    </w:p>
    <w:p w:rsidR="00000000" w:rsidDel="00000000" w:rsidP="00000000" w:rsidRDefault="00000000" w:rsidRPr="00000000" w14:paraId="00000003">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 Mesurer l’audience d’un site e-commerce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Les outils de web analytics comme Google Analytics</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(solution gratuite de Google), Matomo</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(solution en open source) ou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Adobe Analytics</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(solution payante d’Adobe) permettent d’analyser l'audience et les comportements de visites d’un site d’e-commerce grâce à des cookies. Utiliser ce type d’outil permet d'augmenter son taux de conversion en repérant les points forts et les points faibles du site.</w:t>
      </w:r>
      <w:r w:rsidDel="00000000" w:rsidR="00000000" w:rsidRPr="00000000">
        <w:rPr>
          <w:rtl w:val="0"/>
        </w:rPr>
      </w:r>
    </w:p>
    <w:p w:rsidR="00000000" w:rsidDel="00000000" w:rsidP="00000000" w:rsidRDefault="00000000" w:rsidRPr="00000000" w14:paraId="000000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1. Mesurer le trafic de visiteurs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Si la mesure du trafic d’un site e-commerce est facilitée par l’utilisation d’un web analytics, il faut cependant savoir que les chiffres donnés restent des estimations et ne sont pas la réalité du trafic qui est très difficile à mesurer réellement : les visiteurs d’un site se connectent et se déconnectent plusieurs fois, ils consultent depuis plusieurs outils (mobiles ou non), depuis différents lieux, etc. et cela ne permet pas d’assurer des données exactes quant à leur nombre.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 trafic d’un site e-commerce est le nombre de visiteurs qui se rendent sur ce site. Pour mesurer le trafic, il est cependant intéressant d’aller au-delà du décompte de la quantité de visiteurs. Il est possible de prendre en compte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 nombre de nouvelles visites : il s’agit du nombre d’internautes qui viennent pour la première fois sur le site ou qui déclenchent une nouvelle session prise en compte par l’outil de web analytics au cours d'une période donnée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 nombre de visiteurs uniques : il s’agit des internautes qui visitent le site sur une période donnée (mensuellement le plus souvent). Si l’internaute laisse les cookies en activité, cette mesure peut être jugée fiable : il est compté comme visiteur unique s’il se connecte une première fois sur les 30 jours. L’adresse IP de son ordinateur, unique, est également utilisée pour effectuer cette mesure et l’affiner. Lorsqu’il est demandé au visiteur de se connecter avec un identifiant dès le début de sa visite sur le site, le décompte des visiteurs uniques est alors fiable, il ne repose pas sur des estimations mais sur des visites uniques réelles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la durée moyenne de visite : il s’agit de la durée moyenne d’une session calculée à partir du moment où le visiteur arrive sur le site et jusqu’à celui où il le quitte. Il est difficile de savoir exactement quand un internaute quitte réellement un site qu’il a consulté et cela reste donc une estimation.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La FEVAD (Fédération du e-commerce et de la vente à distance) publie chaque trimestre des informations sur la fréquentation des sites de e-commerce qui peuvent être intéressantes à consulter pour comparer l’activité de son site à celle constatée sur le marché.</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pour le premier trimestre 2018 : www.fevad.com/la-croissance-se-maintient-au-1er-trimestre-13</w:t>
      </w:r>
    </w:p>
    <w:p w:rsidR="00000000" w:rsidDel="00000000" w:rsidP="00000000" w:rsidRDefault="00000000" w:rsidRPr="00000000" w14:paraId="000000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2. Repérer les sources d’acquisition du trafic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Repérer les sources d’acquisition de trafic permet de savoir vers lesquelles investir son temps et son budget.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Google Analytics définit les quatre principales sources de trafic qu’il a retenues de la façon suivante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Chaque site référent a une origine ou une source. Les sources possibles sont les suivantes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Google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(nom d'un moteur de recherche),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facebook.com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(nom d'un site référent),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newsletter_printemps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(nom de l'une de vos newsletters) et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accès direct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(visites réalisées par des utilisateurs ayant saisi votre URL directement dans leur navigateur ou ayant ajouté votre site à leurs favoris).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Les sources principales sont généralement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203200</wp:posOffset>
                </wp:positionV>
                <wp:extent cx="5707380" cy="3653790"/>
                <wp:effectExtent b="0" l="0" r="0" t="0"/>
                <wp:wrapSquare wrapText="bothSides" distB="0" distT="0" distL="114300" distR="114300"/>
                <wp:docPr id="1" name=""/>
                <a:graphic>
                  <a:graphicData uri="http://schemas.microsoft.com/office/word/2010/wordprocessingGroup">
                    <wpg:wgp>
                      <wpg:cNvGrpSpPr/>
                      <wpg:grpSpPr>
                        <a:xfrm>
                          <a:off x="0" y="0"/>
                          <a:ext cx="5707380" cy="3653790"/>
                          <a:chOff x="0" y="0"/>
                          <a:chExt cx="5720100" cy="3653775"/>
                        </a:xfrm>
                      </wpg:grpSpPr>
                      <wpg:grpSp>
                        <wpg:cNvGrpSpPr/>
                        <wpg:grpSpPr>
                          <a:xfrm>
                            <a:off x="0" y="0"/>
                            <a:ext cx="5707380" cy="3653775"/>
                            <a:chOff x="0" y="0"/>
                            <a:chExt cx="5707380" cy="3653775"/>
                          </a:xfrm>
                        </wpg:grpSpPr>
                        <wps:wsp>
                          <wps:cNvSpPr/>
                          <wps:cNvPr id="3" name="Shape 3"/>
                          <wps:spPr>
                            <a:xfrm>
                              <a:off x="0" y="0"/>
                              <a:ext cx="5707375" cy="3653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98175"/>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 name="Shape 5"/>
                          <wps:spPr>
                            <a:xfrm>
                              <a:off x="12794" y="110969"/>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organique ou naturel (organic search)</w:t>
                                </w:r>
                              </w:p>
                            </w:txbxContent>
                          </wps:txbx>
                          <wps:bodyPr anchorCtr="0" anchor="ctr" bIns="41900" lIns="41900" spcFirstLastPara="1" rIns="41900" wrap="square" tIns="41900">
                            <a:noAutofit/>
                          </wps:bodyPr>
                        </wps:wsp>
                        <wps:wsp>
                          <wps:cNvSpPr/>
                          <wps:cNvPr id="6" name="Shape 6"/>
                          <wps:spPr>
                            <a:xfrm>
                              <a:off x="0" y="36025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 name="Shape 7"/>
                          <wps:spPr>
                            <a:xfrm>
                              <a:off x="0" y="36025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 venant des  résultats naturels (non payés) des moteurs de recherche</w:t>
                                </w:r>
                              </w:p>
                            </w:txbxContent>
                          </wps:txbx>
                          <wps:bodyPr anchorCtr="0" anchor="t" bIns="13950" lIns="181200" spcFirstLastPara="1" rIns="78225" wrap="square" tIns="13950">
                            <a:noAutofit/>
                          </wps:bodyPr>
                        </wps:wsp>
                        <wps:wsp>
                          <wps:cNvSpPr/>
                          <wps:cNvPr id="8" name="Shape 8"/>
                          <wps:spPr>
                            <a:xfrm>
                              <a:off x="0" y="592095"/>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12794" y="604889"/>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direct</w:t>
                                </w:r>
                              </w:p>
                            </w:txbxContent>
                          </wps:txbx>
                          <wps:bodyPr anchorCtr="0" anchor="ctr" bIns="41900" lIns="41900" spcFirstLastPara="1" rIns="41900" wrap="square" tIns="41900">
                            <a:noAutofit/>
                          </wps:bodyPr>
                        </wps:wsp>
                        <wps:wsp>
                          <wps:cNvSpPr/>
                          <wps:cNvPr id="10" name="Shape 10"/>
                          <wps:spPr>
                            <a:xfrm>
                              <a:off x="0" y="85417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 name="Shape 11"/>
                          <wps:spPr>
                            <a:xfrm>
                              <a:off x="0" y="85417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 venant d'une entrée directe de l'url du site ou des favoris ou de source non identifiée</w:t>
                                </w:r>
                              </w:p>
                            </w:txbxContent>
                          </wps:txbx>
                          <wps:bodyPr anchorCtr="0" anchor="t" bIns="13950" lIns="181200" spcFirstLastPara="1" rIns="78225" wrap="square" tIns="13950">
                            <a:noAutofit/>
                          </wps:bodyPr>
                        </wps:wsp>
                        <wps:wsp>
                          <wps:cNvSpPr/>
                          <wps:cNvPr id="12" name="Shape 12"/>
                          <wps:spPr>
                            <a:xfrm>
                              <a:off x="0" y="1086015"/>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 name="Shape 13"/>
                          <wps:spPr>
                            <a:xfrm>
                              <a:off x="12794" y="1098809"/>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de référence (referral)</w:t>
                                </w:r>
                              </w:p>
                            </w:txbxContent>
                          </wps:txbx>
                          <wps:bodyPr anchorCtr="0" anchor="ctr" bIns="41900" lIns="41900" spcFirstLastPara="1" rIns="41900" wrap="square" tIns="41900">
                            <a:noAutofit/>
                          </wps:bodyPr>
                        </wps:wsp>
                        <wps:wsp>
                          <wps:cNvSpPr/>
                          <wps:cNvPr id="14" name="Shape 14"/>
                          <wps:spPr>
                            <a:xfrm>
                              <a:off x="0" y="134809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a:off x="0" y="134809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venant d'autres sites à partir de liens</w:t>
                                </w:r>
                              </w:p>
                            </w:txbxContent>
                          </wps:txbx>
                          <wps:bodyPr anchorCtr="0" anchor="t" bIns="13950" lIns="181200" spcFirstLastPara="1" rIns="78225" wrap="square" tIns="13950">
                            <a:noAutofit/>
                          </wps:bodyPr>
                        </wps:wsp>
                        <wps:wsp>
                          <wps:cNvSpPr/>
                          <wps:cNvPr id="16" name="Shape 16"/>
                          <wps:spPr>
                            <a:xfrm>
                              <a:off x="0" y="1585063"/>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12794" y="1597857"/>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affilié (affiliate)</w:t>
                                </w:r>
                              </w:p>
                            </w:txbxContent>
                          </wps:txbx>
                          <wps:bodyPr anchorCtr="0" anchor="ctr" bIns="41900" lIns="41900" spcFirstLastPara="1" rIns="41900" wrap="square" tIns="41900">
                            <a:noAutofit/>
                          </wps:bodyPr>
                        </wps:wsp>
                        <wps:wsp>
                          <wps:cNvSpPr/>
                          <wps:cNvPr id="18" name="Shape 18"/>
                          <wps:spPr>
                            <a:xfrm>
                              <a:off x="0" y="184201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a:off x="0" y="184201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venant d'actions d'affiliation</w:t>
                                </w:r>
                              </w:p>
                            </w:txbxContent>
                          </wps:txbx>
                          <wps:bodyPr anchorCtr="0" anchor="t" bIns="13950" lIns="181200" spcFirstLastPara="1" rIns="78225" wrap="square" tIns="13950">
                            <a:noAutofit/>
                          </wps:bodyPr>
                        </wps:wsp>
                        <wps:wsp>
                          <wps:cNvSpPr/>
                          <wps:cNvPr id="20" name="Shape 20"/>
                          <wps:spPr>
                            <a:xfrm>
                              <a:off x="0" y="2073855"/>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12794" y="2086649"/>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social</w:t>
                                </w:r>
                              </w:p>
                            </w:txbxContent>
                          </wps:txbx>
                          <wps:bodyPr anchorCtr="0" anchor="ctr" bIns="41900" lIns="41900" spcFirstLastPara="1" rIns="41900" wrap="square" tIns="41900">
                            <a:noAutofit/>
                          </wps:bodyPr>
                        </wps:wsp>
                        <wps:wsp>
                          <wps:cNvSpPr/>
                          <wps:cNvPr id="22" name="Shape 22"/>
                          <wps:spPr>
                            <a:xfrm>
                              <a:off x="0" y="233593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0" y="233593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venant des réseaux sociaux</w:t>
                                </w:r>
                              </w:p>
                            </w:txbxContent>
                          </wps:txbx>
                          <wps:bodyPr anchorCtr="0" anchor="t" bIns="13950" lIns="181200" spcFirstLastPara="1" rIns="78225" wrap="square" tIns="13950">
                            <a:noAutofit/>
                          </wps:bodyPr>
                        </wps:wsp>
                        <wps:wsp>
                          <wps:cNvSpPr/>
                          <wps:cNvPr id="24" name="Shape 24"/>
                          <wps:spPr>
                            <a:xfrm>
                              <a:off x="0" y="2562646"/>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 name="Shape 25"/>
                          <wps:spPr>
                            <a:xfrm>
                              <a:off x="12794" y="2575440"/>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payant (paid search)</w:t>
                                </w:r>
                              </w:p>
                            </w:txbxContent>
                          </wps:txbx>
                          <wps:bodyPr anchorCtr="0" anchor="ctr" bIns="41900" lIns="41900" spcFirstLastPara="1" rIns="41900" wrap="square" tIns="41900">
                            <a:noAutofit/>
                          </wps:bodyPr>
                        </wps:wsp>
                        <wps:wsp>
                          <wps:cNvSpPr/>
                          <wps:cNvPr id="26" name="Shape 26"/>
                          <wps:spPr>
                            <a:xfrm>
                              <a:off x="0" y="282985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7" name="Shape 27"/>
                          <wps:spPr>
                            <a:xfrm>
                              <a:off x="0" y="282985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venant de liens payants sur les moteurs de recherche</w:t>
                                </w:r>
                              </w:p>
                            </w:txbxContent>
                          </wps:txbx>
                          <wps:bodyPr anchorCtr="0" anchor="t" bIns="13950" lIns="181200" spcFirstLastPara="1" rIns="78225" wrap="square" tIns="13950">
                            <a:noAutofit/>
                          </wps:bodyPr>
                        </wps:wsp>
                        <wps:wsp>
                          <wps:cNvSpPr/>
                          <wps:cNvPr id="28" name="Shape 28"/>
                          <wps:spPr>
                            <a:xfrm>
                              <a:off x="0" y="3061695"/>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9" name="Shape 29"/>
                          <wps:spPr>
                            <a:xfrm>
                              <a:off x="12794" y="3074489"/>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email</w:t>
                                </w:r>
                              </w:p>
                            </w:txbxContent>
                          </wps:txbx>
                          <wps:bodyPr anchorCtr="0" anchor="ctr" bIns="41900" lIns="41900" spcFirstLastPara="1" rIns="41900" wrap="square" tIns="41900">
                            <a:noAutofit/>
                          </wps:bodyPr>
                        </wps:wsp>
                        <wps:wsp>
                          <wps:cNvSpPr/>
                          <wps:cNvPr id="30" name="Shape 30"/>
                          <wps:spPr>
                            <a:xfrm>
                              <a:off x="0" y="332377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1" name="Shape 31"/>
                          <wps:spPr>
                            <a:xfrm>
                              <a:off x="0" y="332377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venant des campagnes d'e-mailing et newsletters</w:t>
                                </w:r>
                              </w:p>
                            </w:txbxContent>
                          </wps:txbx>
                          <wps:bodyPr anchorCtr="0" anchor="t" bIns="13950" lIns="181200" spcFirstLastPara="1" rIns="78225" wrap="square" tIns="1395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203200</wp:posOffset>
                </wp:positionV>
                <wp:extent cx="5707380" cy="365379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07380" cy="3653790"/>
                        </a:xfrm>
                        <a:prstGeom prst="rect"/>
                        <a:ln/>
                      </pic:spPr>
                    </pic:pic>
                  </a:graphicData>
                </a:graphic>
              </wp:anchor>
            </w:drawing>
          </mc:Fallback>
        </mc:AlternateConten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Lorsque l’on connaît les principales sources d’origine de son trafic, il est alors possible de faire des choix d’investissement marketing pour développer un canal d’acquisition porteur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développer le contenu de ses pages avec des mots-clés utiles au référencement naturel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investir dans une newsletter de qualité qui donnera envie d’aller visiter le site régulièrement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proposer un lien ou un bandeau sur un site partenaire, affilié.</w:t>
      </w:r>
    </w:p>
    <w:p w:rsidR="00000000" w:rsidDel="00000000" w:rsidP="00000000" w:rsidRDefault="00000000" w:rsidRPr="00000000" w14:paraId="0000002E">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II. Mesurer les performances du tunnel de conversion d’un site e-commerce</w:t>
      </w:r>
    </w:p>
    <w:p w:rsidR="00000000" w:rsidDel="00000000" w:rsidP="00000000" w:rsidRDefault="00000000" w:rsidRPr="00000000" w14:paraId="000000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bookmarkStart w:colFirst="0" w:colLast="0" w:name="_gjdgxs" w:id="0"/>
      <w:bookmarkEnd w:id="0"/>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1. Les indicateurs clés de performance (KPI)</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Pour mesurer la performance du tunnel de conversion d’un site e-commerce, on va pouvoir utiliser des KPI qui permettent également de piloter les actions sur un site de e-commerce. Ce sont des outils d’analyse qui aident à la prise de décision. Les indicateurs sont suivis sur une période donnée (une semaine, un mois, une année) et permettent la comparaison avec une période antérieure.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Ces KPI sont exploitables à chaque étape franchie par le visiteur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arrivée sur la landing page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sélection du produit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ajout au panier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confirmation de commande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sélection du mode de livraison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choix du mode de paiement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avis, recommandation du site, etc.</w:t>
      </w:r>
    </w:p>
    <w:p w:rsidR="00000000" w:rsidDel="00000000" w:rsidP="00000000" w:rsidRDefault="00000000" w:rsidRPr="00000000" w14:paraId="0000003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KPI les plus fréquents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Les KPI les plus fréquemment utilisés ont pour principaux objectifs de mesurer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la visibilité du site e-commerce (nombre de visites, nombre de clics…)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l’acquisition de nouveaux leads (comptes créés…)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l’efficacité des pages du site (fluidité des actions…)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l’engagement des clients (interaction, avis, recommandation…).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Les KPI les plus courants sont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 taux de rebond = nombre de visiteurs qui quittent le site à la première page/nombre total de visites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 taux de conversion = nombre d’acheteurs/nombre de visiteurs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 nombre de visites avant l’achat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 panier moyen = CA/nombre de commandes validées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les articles placés dans le panier d’achat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les articles achetés versus articles non achetés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 taux d’abandon du panier d’achat = nombre de paniers abandonnés/nombre de commandes débutées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 taux d’abandon au moment du paiement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 net promoter score (NPS) = % de Promoteurs – % de Détracteurs, sachant qu’il se mesure en posant la question : « Nous recommanderiez-vous ? » et grâce aux réponses faites sur une échelle de 0 à 10 points par les visiteurs du site. On obtient ainsi trois catégories de visiteurs : les promoteurs (9-10 points), les passifs (7-8 points) et les détracteurs (0-6 points).</w:t>
      </w:r>
    </w:p>
    <w:sectPr>
      <w:footerReference r:id="rId7" w:type="default"/>
      <w:footerReference r:id="rId8"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libri"/>
  <w:font w:name="GuidePedagoArial"/>
  <w:font w:name="Guide Pedago Arial"/>
  <w:font w:name="GuidePedagoNCond"/>
  <w:font w:name="GuidePedagoNCond-Bold"/>
  <w:font w:name="Times"/>
  <w:font w:name="DINOT-Bold"/>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Pr>
    </w:pPr>
    <w:r w:rsidDel="00000000" w:rsidR="00000000" w:rsidRPr="00000000">
      <w:rPr>
        <w:rFonts w:ascii="Guide Pedago Arial" w:cs="Guide Pedago Arial" w:eastAsia="Guide Pedago Arial" w:hAnsi="Guide Pedago Arial"/>
        <w:b w:val="1"/>
        <w:bCs w:val="1"/>
        <w:i w:val="0"/>
        <w:iCs w:val="0"/>
        <w:smallCaps w:val="0"/>
        <w:strike w:val="0"/>
        <w:color w:val="000000"/>
        <w:sz w:val="17"/>
        <w:szCs w:val="17"/>
        <w:u w:val="none"/>
        <w:shd w:fill="auto" w:val="clear"/>
        <w:vertAlign w:val="baseline"/>
        <w:rtl w:val="0"/>
      </w:rPr>
      <w:t xml:space="preserve">Chapitre 18</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 xml:space="preserve"> – </w:t>
    </w:r>
    <w:r w:rsidDel="00000000" w:rsidR="00000000" w:rsidRPr="00000000">
      <w:rPr>
        <w:rFonts w:ascii="DINOT-Bold" w:cs="DINOT-Bold" w:eastAsia="DINOT-Bold" w:hAnsi="DINOT-Bold"/>
        <w:b w:val="1"/>
        <w:bCs w:val="1"/>
        <w:i w:val="0"/>
        <w:iCs w:val="0"/>
        <w:smallCaps w:val="0"/>
        <w:strike w:val="0"/>
        <w:color w:val="000000"/>
        <w:sz w:val="17"/>
        <w:szCs w:val="17"/>
        <w:u w:val="none"/>
        <w:shd w:fill="auto" w:val="clear"/>
        <w:vertAlign w:val="baseline"/>
        <w:rtl w:val="0"/>
      </w:rPr>
      <w:t xml:space="preserve">Mesurer la performance commerciale digitale</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both"/>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