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ageBreakBefore w:val="0"/>
        <w:widowControl w:val="0"/>
        <w:pBdr>
          <w:top w:space="0" w:sz="0" w:val="nil"/>
          <w:left w:space="0" w:sz="0" w:val="nil"/>
          <w:bottom w:space="0" w:sz="0" w:val="nil"/>
          <w:right w:space="0" w:sz="0" w:val="nil"/>
          <w:between w:space="0" w:sz="0" w:val="nil"/>
        </w:pBdr>
        <w:shd w:fill="auto" w:val="clear"/>
        <w:spacing w:after="397" w:before="0" w:line="240" w:lineRule="auto"/>
        <w:ind w:left="1417" w:right="0" w:hanging="1417"/>
        <w:jc w:val="left"/>
        <w:rPr>
          <w:rFonts w:ascii="GuidePedagoArial" w:cs="GuidePedagoArial" w:eastAsia="GuidePedagoArial" w:hAnsi="GuidePedagoArial"/>
          <w:b w:val="1"/>
          <w:bCs w:val="1"/>
          <w:i w:val="0"/>
          <w:iCs w:val="0"/>
          <w:smallCaps w:val="0"/>
          <w:strike w:val="0"/>
          <w:color w:val="000000"/>
          <w:sz w:val="48"/>
          <w:szCs w:val="48"/>
          <w:u w:val="none"/>
          <w:shd w:fill="auto" w:val="clear"/>
          <w:vertAlign w:val="baseline"/>
        </w:rPr>
      </w:pPr>
      <w:bookmarkStart w:colFirst="0" w:colLast="0" w:name="_gjdgxs" w:id="0"/>
      <w:bookmarkEnd w:id="0"/>
      <w:r w:rsidDel="00000000" w:rsidR="00000000" w:rsidRPr="00000000">
        <w:rPr>
          <w:rFonts w:ascii="GuidePedagoArial" w:cs="GuidePedagoArial" w:eastAsia="GuidePedagoArial" w:hAnsi="GuidePedagoArial"/>
          <w:b w:val="1"/>
          <w:bCs w:val="1"/>
          <w:i w:val="0"/>
          <w:iCs w:val="0"/>
          <w:smallCaps w:val="0"/>
          <w:strike w:val="0"/>
          <w:color w:val="000000"/>
          <w:sz w:val="48"/>
          <w:szCs w:val="48"/>
          <w:u w:val="none"/>
          <w:shd w:fill="auto" w:val="clear"/>
          <w:vertAlign w:val="baseline"/>
          <w:rtl w:val="0"/>
        </w:rPr>
        <w:t xml:space="preserve">Synthèse</w:t>
      </w:r>
    </w:p>
    <w:p w:rsidR="00000000" w:rsidDel="00000000" w:rsidP="00000000" w:rsidRDefault="00000000" w:rsidRPr="00000000" w14:paraId="0000000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680" w:line="240" w:lineRule="auto"/>
        <w:ind w:left="0" w:right="0" w:firstLine="0"/>
        <w:jc w:val="left"/>
        <w:rPr>
          <w:rFonts w:ascii="GuidePedagoNCond-Bold" w:cs="GuidePedagoNCond-Bold" w:eastAsia="GuidePedagoNCond-Bold" w:hAnsi="GuidePedagoNCond-Bold"/>
          <w:b w:val="1"/>
          <w:bCs w:val="1"/>
          <w:i w:val="0"/>
          <w:iCs w:val="0"/>
          <w:smallCaps w:val="0"/>
          <w:strike w:val="0"/>
          <w:color w:val="000000"/>
          <w:sz w:val="27"/>
          <w:szCs w:val="27"/>
          <w:u w:val="none"/>
          <w:shd w:fill="auto" w:val="clear"/>
          <w:vertAlign w:val="baseline"/>
        </w:rPr>
      </w:pPr>
      <w:r w:rsidDel="00000000" w:rsidR="00000000" w:rsidRPr="00000000">
        <w:rPr>
          <w:rFonts w:ascii="GuidePedagoNCond-Bold" w:cs="GuidePedagoNCond-Bold" w:eastAsia="GuidePedagoNCond-Bold" w:hAnsi="GuidePedagoNCond-Bold"/>
          <w:b w:val="1"/>
          <w:bCs w:val="1"/>
          <w:sz w:val="27"/>
          <w:szCs w:val="27"/>
          <w:rtl w:val="0"/>
        </w:rPr>
        <w:t xml:space="preserve">Partie </w:t>
      </w:r>
      <w:r w:rsidDel="00000000" w:rsidR="00000000" w:rsidRPr="00000000">
        <w:rPr>
          <w:rFonts w:ascii="GuidePedagoNCond-Bold" w:cs="GuidePedagoNCond-Bold" w:eastAsia="GuidePedagoNCond-Bold" w:hAnsi="GuidePedagoNCond-Bold"/>
          <w:b w:val="1"/>
          <w:bCs w:val="1"/>
          <w:i w:val="0"/>
          <w:iCs w:val="0"/>
          <w:smallCaps w:val="0"/>
          <w:strike w:val="0"/>
          <w:color w:val="000000"/>
          <w:sz w:val="27"/>
          <w:szCs w:val="27"/>
          <w:u w:val="none"/>
          <w:shd w:fill="auto" w:val="clear"/>
          <w:vertAlign w:val="baseline"/>
          <w:rtl w:val="0"/>
        </w:rPr>
        <w:t xml:space="preserve"> 1</w:t>
        <w:tab/>
        <w:t xml:space="preserve">Assurer la relation client à distance : contacts sortants</w:t>
      </w:r>
    </w:p>
    <w:p w:rsidR="00000000" w:rsidDel="00000000" w:rsidP="00000000" w:rsidRDefault="00000000" w:rsidRPr="00000000" w14:paraId="00000003">
      <w:pPr>
        <w:keepNext w:val="1"/>
        <w:keepLines w:val="1"/>
        <w:pageBreakBefore w:val="0"/>
        <w:widowControl w:val="0"/>
        <w:pBdr>
          <w:top w:space="0" w:sz="0" w:val="nil"/>
          <w:left w:space="0" w:sz="0" w:val="nil"/>
          <w:bottom w:space="0" w:sz="0" w:val="nil"/>
          <w:right w:space="0" w:sz="0" w:val="nil"/>
          <w:between w:space="0" w:sz="0" w:val="nil"/>
        </w:pBdr>
        <w:shd w:fill="auto" w:val="clear"/>
        <w:spacing w:after="85" w:before="198" w:line="240" w:lineRule="auto"/>
        <w:ind w:left="567" w:right="0" w:hanging="567"/>
        <w:jc w:val="left"/>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tl w:val="0"/>
        </w:rPr>
        <w:t xml:space="preserve">I</w:t>
        <w:tab/>
        <w:t xml:space="preserve">Les contacts sortants, la cohérence d’une communication unifiée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La communication est dite sortante lorsque c’est l’entreprise qui prend l’initiative de contacter les prospects ou clients.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On distingue la communication sortante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transactionnelle qui concerne les actions en cours c'est-à-dire le suivi de commande, les expéditions de commande, les livraisons, le paiement, le SAV, le rappel des rendez-vous, etc.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relationnelle dont l’objet n’est pas la délivrance d’un produit ou d’un service mais l’entretien de relations qui ont pour objet :</w:t>
      </w:r>
    </w:p>
    <w:p w:rsidR="00000000" w:rsidDel="00000000" w:rsidP="00000000" w:rsidRDefault="00000000" w:rsidRPr="00000000" w14:paraId="0000000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la qualification de nouveaux contacts ou mise à jour ;</w:t>
      </w:r>
    </w:p>
    <w:p w:rsidR="00000000" w:rsidDel="00000000" w:rsidP="00000000" w:rsidRDefault="00000000" w:rsidRPr="00000000" w14:paraId="0000000A">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la prospection par téléphone ou e-mail ;</w:t>
      </w:r>
    </w:p>
    <w:p w:rsidR="00000000" w:rsidDel="00000000" w:rsidP="00000000" w:rsidRDefault="00000000" w:rsidRPr="00000000" w14:paraId="0000000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la fidélisation avec suivi relation client, enquête de satisfaction, anniversaires, etc.</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La communication sortante se fait via divers outils : téléphone, e-mail, SMS, réseaux sociaux, etc. L’usage conjugué de ces différents outils permet d’augmenter l’efficacité des actions commerciales.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Ces outils sont étroitement associés à la numérisation croissante de la société française depuis 15 ans (source ARCEP) :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- 76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de la population française (12 ans et +) se connecte quotidiennement à Internet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- 94 % des Français sont désormais équipés d’un téléphone mobile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- 43 % des Français utilisent les messageries instantanées.</w:t>
      </w:r>
    </w:p>
    <w:p w:rsidR="00000000" w:rsidDel="00000000" w:rsidP="00000000" w:rsidRDefault="00000000" w:rsidRPr="00000000" w14:paraId="00000012">
      <w:pPr>
        <w:keepNext w:val="1"/>
        <w:keepLines w:val="1"/>
        <w:pageBreakBefore w:val="0"/>
        <w:widowControl w:val="0"/>
        <w:pBdr>
          <w:top w:space="0" w:sz="0" w:val="nil"/>
          <w:left w:space="0" w:sz="0" w:val="nil"/>
          <w:bottom w:space="0" w:sz="0" w:val="nil"/>
          <w:right w:space="0" w:sz="0" w:val="nil"/>
          <w:between w:space="0" w:sz="0" w:val="nil"/>
        </w:pBdr>
        <w:shd w:fill="auto" w:val="clear"/>
        <w:spacing w:after="85" w:before="198" w:line="240" w:lineRule="auto"/>
        <w:ind w:left="567" w:right="0" w:hanging="567"/>
        <w:jc w:val="left"/>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Pr>
      </w:pPr>
      <w:r w:rsidDel="00000000" w:rsidR="00000000" w:rsidRPr="00000000">
        <w:rPr>
          <w:rFonts w:ascii="GuidePedagoNCond" w:cs="GuidePedagoNCond" w:eastAsia="GuidePedagoNCond" w:hAnsi="GuidePedagoNCond"/>
          <w:b w:val="0"/>
          <w:bCs w:val="0"/>
          <w:i w:val="0"/>
          <w:iCs w:val="0"/>
          <w:smallCaps w:val="0"/>
          <w:strike w:val="0"/>
          <w:color w:val="000000"/>
          <w:sz w:val="25"/>
          <w:szCs w:val="25"/>
          <w:u w:val="none"/>
          <w:shd w:fill="auto" w:val="clear"/>
          <w:vertAlign w:val="baseline"/>
          <w:rtl w:val="0"/>
        </w:rPr>
        <w:t xml:space="preserve">II</w:t>
        <w:tab/>
        <w:t xml:space="preserve">Les principaux outils</w:t>
      </w:r>
    </w:p>
    <w:tbl>
      <w:tblPr>
        <w:tblStyle w:val="Table1"/>
        <w:tblW w:w="10031.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4"/>
        <w:gridCol w:w="2977"/>
        <w:gridCol w:w="2693"/>
        <w:gridCol w:w="2977"/>
        <w:tblGridChange w:id="0">
          <w:tblGrid>
            <w:gridCol w:w="1384"/>
            <w:gridCol w:w="2977"/>
            <w:gridCol w:w="2693"/>
            <w:gridCol w:w="2977"/>
          </w:tblGrid>
        </w:tblGridChange>
      </w:tblGrid>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Outils</w:t>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2"/>
                <w:szCs w:val="22"/>
                <w:highlight w:val="white"/>
                <w:u w:val="none"/>
                <w:vertAlign w:val="baseline"/>
              </w:rPr>
            </w:pPr>
            <w:r w:rsidDel="00000000" w:rsidR="00000000" w:rsidRPr="00000000">
              <w:rPr>
                <w:rFonts w:ascii="Times" w:cs="Times" w:eastAsia="Times" w:hAnsi="Times"/>
                <w:b w:val="1"/>
                <w:bCs w:val="1"/>
                <w:i w:val="0"/>
                <w:iCs w:val="0"/>
                <w:smallCaps w:val="0"/>
                <w:strike w:val="0"/>
                <w:color w:val="000000"/>
                <w:sz w:val="22"/>
                <w:szCs w:val="22"/>
                <w:highlight w:val="white"/>
                <w:u w:val="none"/>
                <w:vertAlign w:val="baseline"/>
                <w:rtl w:val="0"/>
              </w:rPr>
              <w:t xml:space="preserve">Usages</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Avantages</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Inconvénients</w:t>
            </w:r>
          </w:p>
        </w:tc>
      </w:tr>
      <w:tr>
        <w:trPr>
          <w:cantSplit w:val="0"/>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Téléphone</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highlight w:val="white"/>
                <w:u w:val="none"/>
                <w:vertAlign w:val="baseline"/>
                <w:rtl w:val="0"/>
              </w:rPr>
              <w:t xml:space="preserve">Pour les campagnes de prospection et de réactivation clients lorsque la personnalisation et l’argumentation sont essentielles.</w:t>
            </w:r>
            <w:r w:rsidDel="00000000" w:rsidR="00000000" w:rsidRPr="00000000">
              <w:rPr>
                <w:rtl w:val="0"/>
              </w:rPr>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Synchrone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Qualité du contact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Rapidité de réponse</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Personnalisation</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Coût élevé par contact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Difficulté de joindre la cible, barrages</w:t>
            </w:r>
          </w:p>
        </w:tc>
      </w:tr>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E-mail</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Pour informer d’une action commencée sur un site web (l’e-mail transactionnel) et pour prospecter, vendre et fidéliser (l’e-mail relationnel).</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Large diffusion</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Personnalisation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Coût faible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Associe texte et image</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Asynchrone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Risque de spams, FAI vigilants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Encombrement des boîtes mail</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Taux de lecture de 15 %</w:t>
            </w:r>
          </w:p>
        </w:tc>
      </w:tr>
      <w:tr>
        <w:trPr>
          <w:cantSplit w:val="0"/>
          <w:trHeight w:val="260" w:hRule="atLeast"/>
          <w:tblHeader w:val="0"/>
        </w:trPr>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SMS</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Pour des ventes flash, des promotions, des invitations ou des campagnes de notifications. </w:t>
            </w:r>
          </w:p>
        </w:tc>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Large diffusion</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Coût faible</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Personnalisation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Taux d’ouverture de 95 % (pas de spam)</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Délais d’ouverture de 4 minutes </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Asynchrone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160 caractères maximum</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Wingdings 3" w:cs="Wingdings 3" w:eastAsia="Wingdings 3" w:hAnsi="Wingdings 3"/>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Intrusif</w:t>
            </w:r>
          </w:p>
        </w:tc>
      </w:tr>
    </w:tbl>
    <w:p w:rsidR="00000000" w:rsidDel="00000000" w:rsidP="00000000" w:rsidRDefault="00000000" w:rsidRPr="00000000" w14:paraId="00000033">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1. La communication par téléphone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Le téléphone reste le canal de communication privilégié entre une entreprise et ses clients, notamment en B to B. Le canal voix est un média puissant. Il permet d’avoir un échange en temps-réel et d’obtenir une réponse immédiate et de qualité en discutant de vive voix avec son interlocuteur. Il est particulièrement adapté aux campagnes de prospection et de réactivation des clients lorsque la personnalisation et l’argumentation sont nécessaires.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Trois éléments clé :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1. Une préparation indispensable : cibler sa campagne avec des informations qualifiées sur les prospects clients (prénom, nom, fonction, coordonnées…), préparer ses objectifs et construire son argumentaire, anticiper les barrages et le traitement des objections majeures. La méthode CROC résume le plan d’appel : C pour contact, R pour raison de l’appel, O pour objectif et C pour conclusion et prise de congé.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2. Entraînement et persévérance : joindre ses interlocuteurs est une difficulté majeure. Il faut faire preuve de ténacité, en moyenne plus de six appels sont nécessaires pour joindre la bonne personne. Noter toutes les informations pour assurer un bon suivi. Laisser un message rapide et clair et annoncer son prochain appel si on joint la messagerie. Se présenter, vérifier l’identité et la disponibilité de l’interlocuteur puis entamer la raison et l’objet de l’appel avec une phrase d’accroche tonique.</w:t>
      </w:r>
    </w:p>
    <w:p w:rsidR="00000000" w:rsidDel="00000000" w:rsidP="00000000" w:rsidRDefault="00000000" w:rsidRPr="00000000" w14:paraId="0000003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3. Attitude et comportement adéquats. Il faut s’entraîner à moduler sa voix, adapter le rythme et prononcer distinctement. Il faut être sûr de soi et rester positif. Enfin savoir s’adapter à son interlocuteur, faire preuve d’empathie et d’écoute active.</w:t>
      </w:r>
    </w:p>
    <w:p w:rsidR="00000000" w:rsidDel="00000000" w:rsidP="00000000" w:rsidRDefault="00000000" w:rsidRPr="00000000" w14:paraId="0000003A">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2. La communication par e-mail</w:t>
      </w:r>
    </w:p>
    <w:p w:rsidR="00000000" w:rsidDel="00000000" w:rsidP="00000000" w:rsidRDefault="00000000" w:rsidRPr="00000000" w14:paraId="0000003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L’e-mail est un outil de communication très largement utilisé. Victime de son succès, la hausse des envois d’e-mails crée un encombrement dans les boîtes de réception des destinataires. En outre, 80 % des e-mails sont traités comme spam ou indésirables. Il est capital d’être ouvert. Pour cela les facteurs clé de succès d’un e-mail sont d’abord d’assurer la délivrabilité en évitant d’être considéré comme spam par les FAI et les destinataires, et ensuite d’encourager l’ouverture en rédigeant un objet attractif, en personnalisant l’e-mail et en prenant soin que le format soit lisible. La délivrabilité est le taux de placement en boîte de réception.</w:t>
      </w:r>
    </w:p>
    <w:p w:rsidR="00000000" w:rsidDel="00000000" w:rsidP="00000000" w:rsidRDefault="00000000" w:rsidRPr="00000000" w14:paraId="0000003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Une fois délivré, l’e-mail doit être ouvert et lu pour assurer le succès et le ROI de la campagne. Le taux d’ouverture dépend d’un certain nombre de critères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1. Le choix des destinataires : il est capital de cibler ses e-mails ; envoyer des e-mails à des personnes indifférentes à vos produits risque de les irriter et de se retrouver classé en spam.</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2. Le choix de l’objet est essentiel et déterminant pour la délivrabilité :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sur la forme, l’objet ne doit pas être tout en majuscule, il ne faut pas abuser de points d’exclamation, ne pas répéter le même mot ; de 35 à 45 caractères maximum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sur le fond, éviter certains mots comme « gratuit », « crédit », « cadeaux », ou des thèmes souvent proscrits comme argent, sexe, jeux d’argent, etc.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3. La première phrase du texte, ou pre-header</w:t>
      </w:r>
      <w:r w:rsidDel="00000000" w:rsidR="00000000" w:rsidRPr="00000000">
        <w:rPr>
          <w:rFonts w:ascii="Times" w:cs="Times" w:eastAsia="Times" w:hAnsi="Times"/>
          <w:b w:val="1"/>
          <w:bCs w:val="1"/>
          <w:i w:val="1"/>
          <w:iCs w:val="1"/>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doit être particulièrement soignée car elle est généralement visible sur l’écran avant l’ouverture de l’e-mail et doit attirer l’attention.</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4. Le corps du texte est à personnaliser pour susciter l’intérêt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la formule d’appel est personnalisée pour que le destinataire se sente concerné : « Bonjour Madame, Monsieur + nom » ; des études montrent que la personnalisation peut augmenter le taux de réponse de 64 % ;</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le texte est rédigé avec des phrases courtes, simples et positives, sans faute ;</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il est construit selon le modèle AIDA pour attirer l’attention, susciter l’intérêt, provoquer le désir et inciter à l’action. Il propose une offre claire et invite à aller vers le site et les autres réseaux sociaux ; le couponing est largement utilisé via l’envoi de coupon, codes ou QR codes.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une formule de politesse simple termine l’e-mail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la signature complète le texte avec les coordonnées et les liens vers les sites.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5. Le format à choisir : en texte brut (plus simple et personnalisé) ou en HTML (plus joli mais plus lourd), ou les deux </w:t>
      </w:r>
      <w:r w:rsidDel="00000000" w:rsidR="00000000" w:rsidRPr="00000000">
        <w:rPr>
          <w:rFonts w:ascii="Times" w:cs="Times" w:eastAsia="Times" w:hAnsi="Times"/>
          <w:b w:val="1"/>
          <w:bCs w:val="1"/>
          <w:i w:val="1"/>
          <w:iCs w:val="1"/>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multipart</w:t>
      </w:r>
      <w:r w:rsidDel="00000000" w:rsidR="00000000" w:rsidRPr="00000000">
        <w:rPr>
          <w:rFonts w:ascii="Times" w:cs="Times" w:eastAsia="Times" w:hAnsi="Times"/>
          <w:b w:val="1"/>
          <w:bCs w:val="1"/>
          <w:i w:val="1"/>
          <w:iCs w:val="1"/>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 Associer des images au texte (au format lisible) augmente l’efficacité de l’e-mail. Les logiciels de CRM proposent des modèles d’e-mail (templates) pour les principales transactions : relance, confirmation de commande, d’expédition, de paiement, changement de mot de passe, etc.</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Enfin il est recommandé de tester votre message avant l’envoi de la campagne.</w:t>
      </w:r>
    </w:p>
    <w:p w:rsidR="00000000" w:rsidDel="00000000" w:rsidP="00000000" w:rsidRDefault="00000000" w:rsidRPr="00000000" w14:paraId="0000004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bCs w:val="1"/>
          <w:i w:val="0"/>
          <w:iCs w:val="0"/>
          <w:smallCaps w:val="0"/>
          <w:strike w:val="0"/>
          <w:color w:val="000000"/>
          <w:sz w:val="23"/>
          <w:szCs w:val="23"/>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3"/>
          <w:szCs w:val="23"/>
          <w:u w:val="none"/>
          <w:shd w:fill="auto" w:val="clear"/>
          <w:vertAlign w:val="baseline"/>
          <w:rtl w:val="0"/>
        </w:rPr>
        <w:t xml:space="preserve">3. La communication par SMS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Un SMS (short message service) est un service de messagerie qui permet d’envoyer des messages texte via les téléphones mobiles. Il est d’usage personnel ou professionnel. Il complète les outils digitaux d’une stratégie omnicanale.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Sur le fond, le message doit être net et précis : une seule offre par message (promotion, réduction avec code ou QR code à présenter, information sur une expédition, une commande, un salon…). Il permet de répondre à trois questions : quoi ? quand ? comment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Sur la forme, le texte compte 160 caractères maximum, espace inclus. Possibilité de personnaliser avec le nom du destinataire. Attention ! Certains caractères comptent double : { } € [ ] ~ ^ ¨ | &amp; $ @ \n \r \t (retours chariots et tabulations).</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0" w:lineRule="auto"/>
        <w:ind w:left="0" w:right="0" w:firstLine="0"/>
        <w:jc w:val="left"/>
        <w:rPr>
          <w:rFonts w:ascii="Times" w:cs="Times" w:eastAsia="Times" w:hAnsi="Times"/>
          <w:b w:val="1"/>
          <w:bCs w:val="1"/>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2"/>
          <w:szCs w:val="22"/>
          <w:u w:val="none"/>
          <w:shd w:fill="auto" w:val="clear"/>
          <w:vertAlign w:val="baseline"/>
          <w:rtl w:val="0"/>
        </w:rPr>
        <w:t xml:space="preserve">Un « Rich SMS » est la possibilité d’insérer un hyper-lien qui dirige sur une page dédiée (landing page) adaptée pour mobile.</w:t>
      </w:r>
    </w:p>
    <w:p w:rsidR="00000000" w:rsidDel="00000000" w:rsidP="00000000" w:rsidRDefault="00000000" w:rsidRPr="00000000" w14:paraId="0000005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Le SMS a un taux d’ouverture de 95 % et un délai de lecture de moins de 4 minutes.</w:t>
      </w:r>
    </w:p>
    <w:sectPr>
      <w:footerReference r:id="rId6" w:type="default"/>
      <w:footerReference r:id="rId7" w:type="even"/>
      <w:pgSz w:h="16839" w:w="11907" w:orient="portrait"/>
      <w:pgMar w:bottom="919" w:top="782" w:left="680" w:right="1021" w:header="0" w:footer="42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ourier New"/>
  <w:font w:name="GuidePedagoArial"/>
  <w:font w:name="Guide Pedago Arial"/>
  <w:font w:name="GuidePedagoNCond"/>
  <w:font w:name="GuidePedagoNCond-Bold"/>
  <w:font w:name="Times"/>
  <w:font w:name="DINOT-Bold"/>
  <w:font w:name="Noto Sans Symbols">
    <w:embedRegular w:fontKey="{00000000-0000-0000-0000-000000000000}" r:id="rId1" w:subsetted="0"/>
    <w:embedBold w:fontKey="{00000000-0000-0000-0000-000000000000}" r:id="rId2" w:subsetted="0"/>
  </w:font>
  <w:font w:name="Guide Pedago NCond"/>
  <w:font w:name="Wingdings 3"/>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206"/>
      </w:tabs>
      <w:spacing w:after="0" w:before="0" w:line="276" w:lineRule="auto"/>
      <w:ind w:left="0" w:right="0" w:firstLine="0"/>
      <w:jc w:val="left"/>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Pr>
    </w:pPr>
    <w:r w:rsidDel="00000000" w:rsidR="00000000" w:rsidRPr="00000000">
      <w:rPr>
        <w:rFonts w:ascii="Guide Pedago Arial" w:cs="Guide Pedago Arial" w:eastAsia="Guide Pedago Arial" w:hAnsi="Guide Pedago Arial"/>
        <w:b w:val="1"/>
        <w:bCs w:val="1"/>
        <w:i w:val="0"/>
        <w:iCs w:val="0"/>
        <w:smallCaps w:val="0"/>
        <w:strike w:val="0"/>
        <w:color w:val="000000"/>
        <w:sz w:val="17"/>
        <w:szCs w:val="17"/>
        <w:u w:val="none"/>
        <w:shd w:fill="auto" w:val="clear"/>
        <w:vertAlign w:val="baseline"/>
        <w:rtl w:val="0"/>
      </w:rPr>
      <w:t xml:space="preserve">Chapitre 1</w:t>
    </w:r>
    <w:r w:rsidDel="00000000" w:rsidR="00000000" w:rsidRPr="00000000">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tl w:val="0"/>
      </w:rPr>
      <w:t xml:space="preserve"> – </w:t>
    </w:r>
    <w:r w:rsidDel="00000000" w:rsidR="00000000" w:rsidRPr="00000000">
      <w:rPr>
        <w:rFonts w:ascii="DINOT-Bold" w:cs="DINOT-Bold" w:eastAsia="DINOT-Bold" w:hAnsi="DINOT-Bold"/>
        <w:b w:val="1"/>
        <w:bCs w:val="1"/>
        <w:i w:val="0"/>
        <w:iCs w:val="0"/>
        <w:smallCaps w:val="0"/>
        <w:strike w:val="0"/>
        <w:color w:val="000000"/>
        <w:sz w:val="17"/>
        <w:szCs w:val="17"/>
        <w:u w:val="none"/>
        <w:shd w:fill="auto" w:val="clear"/>
        <w:vertAlign w:val="baseline"/>
        <w:rtl w:val="0"/>
      </w:rPr>
      <w:t xml:space="preserve">Assurer la relation client à distance : contacts sortants</w:t>
    </w:r>
    <w:r w:rsidDel="00000000" w:rsidR="00000000" w:rsidRPr="00000000">
      <w:rPr>
        <w:rFonts w:ascii="Guide Pedago Arial" w:cs="Guide Pedago Arial" w:eastAsia="Guide Pedago Arial" w:hAnsi="Guide Pedago Arial"/>
        <w:b w:val="0"/>
        <w:bCs w:val="0"/>
        <w:i w:val="0"/>
        <w:iCs w:val="0"/>
        <w:smallCaps w:val="0"/>
        <w:strike w:val="0"/>
        <w:color w:val="000000"/>
        <w:sz w:val="17"/>
        <w:szCs w:val="17"/>
        <w:u w:val="none"/>
        <w:shd w:fill="auto" w:val="clear"/>
        <w:vertAlign w:val="baseline"/>
        <w:rtl w:val="0"/>
      </w:rPr>
      <w:tab/>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both"/>
      <w:rPr>
        <w:rFonts w:ascii="Guide Pedago Arial" w:cs="Guide Pedago Arial" w:eastAsia="Guide Pedago Arial" w:hAnsi="Guide Pedago Arial"/>
        <w:b w:val="1"/>
        <w:bCs w:val="1"/>
        <w:i w:val="0"/>
        <w:iCs w:val="0"/>
        <w:smallCaps w:val="0"/>
        <w:strike w:val="0"/>
        <w:color w:val="000000"/>
        <w:sz w:val="16"/>
        <w:szCs w:val="16"/>
        <w:u w:val="none"/>
        <w:shd w:fill="auto" w:val="clear"/>
        <w:vertAlign w:val="baseline"/>
      </w:rPr>
    </w:pP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Guide Pedago Arial" w:cs="Guide Pedago Arial" w:eastAsia="Guide Pedago Arial" w:hAnsi="Guide Pedago Arial"/>
        <w:b w:val="1"/>
        <w:bCs w:val="1"/>
        <w:i w:val="0"/>
        <w:iCs w:val="0"/>
        <w:smallCaps w:val="0"/>
        <w:strike w:val="0"/>
        <w:color w:val="000000"/>
        <w:sz w:val="16"/>
        <w:szCs w:val="16"/>
        <w:u w:val="none"/>
        <w:shd w:fill="auto" w:val="clear"/>
        <w:vertAlign w:val="baseline"/>
        <w:rtl w:val="0"/>
      </w:rPr>
      <w:tab/>
      <w:t xml:space="preserve">Situation professionnelle – Notra-K</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fr-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Bdr>
        <w:bottom w:color="4f81bd" w:space="4" w:sz="8" w:val="single"/>
      </w:pBdr>
      <w:spacing w:after="30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