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bookmarkStart w:colFirst="0" w:colLast="0" w:name="_heading=h.gjdgxs" w:id="0"/>
      <w:bookmarkEnd w:id="0"/>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680" w:line="276" w:lineRule="auto"/>
        <w:ind w:left="0" w:right="0" w:firstLine="0"/>
        <w:jc w:val="left"/>
        <w:rPr>
          <w:rFonts w:ascii="GuidePedagoNCond-Bold" w:cs="GuidePedagoNCond-Bold" w:eastAsia="GuidePedagoNCond-Bold" w:hAnsi="GuidePedagoNCond-Bold"/>
          <w:b w:val="1"/>
          <w:i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i w:val="0"/>
          <w:smallCaps w:val="0"/>
          <w:strike w:val="0"/>
          <w:color w:val="000000"/>
          <w:sz w:val="27"/>
          <w:szCs w:val="27"/>
          <w:u w:val="none"/>
          <w:shd w:fill="auto" w:val="clear"/>
          <w:vertAlign w:val="baseline"/>
          <w:rtl w:val="0"/>
        </w:rPr>
        <w:t xml:space="preserve">Chapitre 4</w:t>
        <w:tab/>
        <w:t xml:space="preserve">Recruter et superviser une équipe de téléacteurs</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i w:val="0"/>
          <w:smallCaps w:val="0"/>
          <w:strike w:val="0"/>
          <w:color w:val="000000"/>
          <w:sz w:val="22"/>
          <w:szCs w:val="22"/>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2"/>
          <w:szCs w:val="22"/>
          <w:u w:val="none"/>
          <w:shd w:fill="auto" w:val="clear"/>
          <w:vertAlign w:val="baseline"/>
          <w:rtl w:val="0"/>
        </w:rPr>
        <w:t xml:space="preserve">Le recrutement de téléacteurs dépend d’un processus structuré en plusieurs étapes qui doit aboutir à la constitution d’une équipe efficace et performante. Il est déclenché par le besoin d’embaucher de nouveaux téléacteurs.</w:t>
      </w:r>
    </w:p>
    <w:p w:rsidR="00000000" w:rsidDel="00000000" w:rsidP="00000000" w:rsidRDefault="00000000" w:rsidRPr="00000000" w14:paraId="00000005">
      <w:pPr>
        <w:keepNext w:val="1"/>
        <w:keepLines w:val="1"/>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w:t>
        <w:tab/>
        <w:t xml:space="preserve">Recruter des téléacteurs pour constituer une équipe et les intégrer</w:t>
      </w:r>
    </w:p>
    <w:p w:rsidR="00000000" w:rsidDel="00000000" w:rsidP="00000000" w:rsidRDefault="00000000" w:rsidRPr="00000000" w14:paraId="00000006">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Définir et faire connaître le besoin en recrutement</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besoin de recrutement peut être issu de facteurs externes ou internes à l’entreprise.</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principales origines de ce besoin sont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à l’externe, les facteurs liés à l’évolution du marché et de l’environnement de l’entreprise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à l’interne, les facteurs liés à l’activité, aux nouvelles compétences requises, à la démographie de l’entreprise, à la mobilité et l’évolution de carrière de ses employés.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 fois repéré, le besoin de recruter doit être exprimé afin que se déclenche le processus qui va permettre l’embauche de nouveaux téléacteurs. Selon la taille de l’entreprise et son organisation, c’est le plus souvent la direction du centre de relation clients ou la direction des ressources humaines qui décide des modalités et prend en charge le lancement de la procédure.</w:t>
      </w:r>
    </w:p>
    <w:p w:rsidR="00000000" w:rsidDel="00000000" w:rsidP="00000000" w:rsidRDefault="00000000" w:rsidRPr="00000000" w14:paraId="0000000D">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sz w:val="23"/>
          <w:szCs w:val="23"/>
        </w:rPr>
      </w:pPr>
      <w:r w:rsidDel="00000000" w:rsidR="00000000" w:rsidRPr="00000000">
        <w:rPr>
          <w:rtl w:val="0"/>
        </w:rPr>
      </w:r>
    </w:p>
    <w:p w:rsidR="00000000" w:rsidDel="00000000" w:rsidP="00000000" w:rsidRDefault="00000000" w:rsidRPr="00000000" w14:paraId="0000000E">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Recruter et respecter la législation du travail</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recrutement doit se faire dans le respect des règles précisant les droits et devoirs des recruteurs et des candidats : Code du travail, conventions collectives, règlement intérieur de l’entreprise, etc.</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législation du travail à laquelle il faut se conformer durant le recrutement porte essentiellement sur la discrimination à l’embauche, la période d’essai, le cas des mineurs, la situation des personnes porteuses de handicap, les modalités des différents contrats de travail.</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NB : Ces concepts peuvent être abordés en CEJM appliquée en les reliant aux thèmes 3 « L’organisation de l’activité de l’entreprise » ou 5 « Les mutations du travail » par exemple. Dans le cadre des ateliers de professionnalisation, des contrats de travail ou la convention collective peuvent être étudiés (Convention collective nationale du personnel des prestataires de services dans le domaine du secteur tertiaire et Textes Attachés relatifs aux salariés des centres d'appels).</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budget défini pour le recrutement (« budget RH ») va contraindre les choix de méthodes à utiliser pour trouver le nouveau collaborateur. Il comporte les frais d’annonce (comment sera publiée l’offre), les frais de sélection (par qui sera faite la sélection), les frais liés à l’intégration (qui va former), etc.</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recruter, il faut tout d’abord définir le poste à pourvoir (missions confiées, éléments de rémunération, hiérarchie, lieu d’exercice…) et le profil du candidat recherché (qualités, compétences, niveau de formation…).</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faut ensuite diffuser une offre d’emploi. L’entreprise le fait soit elle-même (affichage interne, site Internet…), soit en passant par un intermédiaire (Pôle Emploi, agences spécialisées, réseaux professionnels, et de plus en plus via les sites d’offres d’emploi - « jobboards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fois les candidatures arrivées, il est nécessaire de les trier (manuellement ou avec l’aide d’un logiciel spécialisé qui effectue une sélection par mots-clés) afin de ne conserver que celles qui correspondent au profil recherché.</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L’étape de la sélection se poursuit la plupart du temps avec un ou plusieurs entretiens (qui peuvent parfois se faire à distance ou en différé à l’appui d’une vidéo envoyée par le candidat au recruteur) et des étapes d’évaluation (assessment center) et/ou de tests psychotechniques, de logique, de personnalité, etc.</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convient ensuite, à l’issue du processus de recrutement, de faire savoir au candidat qu’il a été retenu, puis de l’intégrer à sa nouvelle équipe de travail ; c’est souvent le rôle du superviseur.</w:t>
      </w:r>
    </w:p>
    <w:p w:rsidR="00000000" w:rsidDel="00000000" w:rsidP="00000000" w:rsidRDefault="00000000" w:rsidRPr="00000000" w14:paraId="00000020">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sz w:val="23"/>
          <w:szCs w:val="23"/>
        </w:rPr>
      </w:pPr>
      <w:r w:rsidDel="00000000" w:rsidR="00000000" w:rsidRPr="00000000">
        <w:rPr>
          <w:rtl w:val="0"/>
        </w:rPr>
      </w:r>
    </w:p>
    <w:p w:rsidR="00000000" w:rsidDel="00000000" w:rsidP="00000000" w:rsidRDefault="00000000" w:rsidRPr="00000000" w14:paraId="00000021">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3. Intégrer le nouveau téléacteur</w:t>
      </w:r>
    </w:p>
    <w:p w:rsidR="00000000" w:rsidDel="00000000" w:rsidP="00000000" w:rsidRDefault="00000000" w:rsidRPr="00000000" w14:paraId="00000022">
      <w:pPr>
        <w:keepNext w:val="1"/>
        <w:keepLines w:val="1"/>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w:cs="Times" w:eastAsia="Times" w:hAnsi="Times"/>
          <w:b w:val="1"/>
          <w:i w:val="0"/>
          <w:smallCaps w:val="0"/>
          <w:strike w:val="0"/>
          <w:color w:val="000000"/>
          <w:sz w:val="23"/>
          <w:szCs w:val="23"/>
          <w:highlight w:val="cyan"/>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L’intégration (ou « onboarding ») du nouveau téléacteur est la première étape de sa fidélisation. Les étapes de l’intégration se déroulent sur une ou plusieurs journées en fonction de ce qui est prévu par l’entreprise. Elles peuvent consister en : l’accueil du téléacteur le premier jour, sa prise de poste et la présentation des outils et supports mis à sa disposition, la découverte du métier et de la culture de l'entreprise, la rencontre avec son équipe de travail, etc.</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L’intégration peut prendre différentes formes en fonction de la durée du contrat par exemple :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intégration rapide, dématérialisée et automatisée à l’aide d’un logiciel ou d’une solution sur cloud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intégration classique et personnalisée, balisée par un suivi régulier et formalisé, conduite par le superviseur, un téléacteur expérimenté, etc.</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L’intégration est la première étape de la période d’essai mais elle ne consiste pas à évaluer le nouveau collaborateur. Sa finalité est de commencer à le fidéliser en lui faisant partager la culture et les valeurs de l’entreprise.</w:t>
      </w:r>
    </w:p>
    <w:p w:rsidR="00000000" w:rsidDel="00000000" w:rsidP="00000000" w:rsidRDefault="00000000" w:rsidRPr="00000000" w14:paraId="00000027">
      <w:pPr>
        <w:keepNext w:val="1"/>
        <w:keepLines w:val="1"/>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sz w:val="25"/>
          <w:szCs w:val="25"/>
        </w:rPr>
      </w:pPr>
      <w:r w:rsidDel="00000000" w:rsidR="00000000" w:rsidRPr="00000000">
        <w:rPr>
          <w:rtl w:val="0"/>
        </w:rPr>
      </w:r>
    </w:p>
    <w:p w:rsidR="00000000" w:rsidDel="00000000" w:rsidP="00000000" w:rsidRDefault="00000000" w:rsidRPr="00000000" w14:paraId="00000028">
      <w:pPr>
        <w:keepNext w:val="1"/>
        <w:keepLines w:val="1"/>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w:t>
        <w:tab/>
        <w:t xml:space="preserve">Superviser en fixant des objectifs</w:t>
      </w:r>
    </w:p>
    <w:p w:rsidR="00000000" w:rsidDel="00000000" w:rsidP="00000000" w:rsidRDefault="00000000" w:rsidRPr="00000000" w14:paraId="00000029">
      <w:pPr>
        <w:keepNext w:val="1"/>
        <w:keepLines w:val="1"/>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Superviser</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développement commercial de l’entreprise dépend de la conquête de nouveaux clients. L’efficacité de l’équipe de téléacteurs revêt la plus grande importance dans ce contexte. Le superviseur, manager de proximité, a un rôle prépondérant dans son pilotage : il doit la superviser. Il utilise pour cela des techniques de management d’équipe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 dispositif de « double-écoute » qui lui permet d’évaluer la capacité du téléacteur à émettre ou recevoir des appels, accueillir, traiter la demande, etc., satisfaire le client.</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les leviers de la motivation pour éviter le turn-over et développer le sentiment d’appartenance : mise à disposition d’un poste de travail agréable et confortable, activités de team-building pour développer l’esprit d’équipe, transmission des valeurs de l’entreprise (affichage de phrases-clés qui les illustrent…), instauration de rituels communs, etc.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les leviers de la stimulation (ou « incentive ») pour que les forces soient mobilisées et les objectifs atteints : challenges (chaque téléacteur pour remporter le challenge comme celui d’augmenter de 5 % ses ventes du mois précédent par exemple), concours (seuls les meilleurs peuvent remporter le concours comme les deux premiers téléacteurs à atteindre l’objectif de X ventes gagnent la récompense par exemple).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problèmes de management les plus fréquemment rencontrés par les superviseurs sont la difficulté à recruter (pénurie de candidatures en raison du stress lié à la gestion des clients insatisfaits, des horaires flexibles, de la répétition des tâches, du contrôle continu des performances…), l’absentéisme et les retards. Seule une bonne qualité d’animation d’équipe peut limiter ces risques et permettre d’accroître la productivité dans une ambiance de travail agréable et respectueuse des règles.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Fixer des objectifs</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superviseur joue un rôle d’encadrement et de conseil auprès de ses équipes mais il doit également être en mesure d’analyser les statistiques pour atteindre les résultats prévus quotidiennement pour la plateforme. Les objectifs fixés doivent avoir les qualités « SMART » d’un bon objectif.</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mesurer la capacité de chaque téléacteur à atteindre les objectifs qui lui sont fixés, plusieurs outils sont à la disposition du superviseur :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tableaux de bord qui permettent de calculer et analyser des ratios de performance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tableaux de type « paper board » ou tableau blanc effaçable qui permettent un affichage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tableaux d’affichage électroniques montrant des données utiles : flux en temps réel du trafic, durée des appels, nombre de téléacteurs en ligne, temps d’appel avant décrochage, etc.</w:t>
      </w:r>
    </w:p>
    <w:sectPr>
      <w:headerReference r:id="rId7" w:type="default"/>
      <w:headerReference r:id="rId8" w:type="first"/>
      <w:headerReference r:id="rId9" w:type="even"/>
      <w:footerReference r:id="rId10" w:type="default"/>
      <w:footerReference r:id="rId11" w:type="first"/>
      <w:footerReference r:id="rId12" w:type="even"/>
      <w:pgSz w:h="16838" w:w="11906"/>
      <w:pgMar w:bottom="1133" w:top="1133" w:left="1133"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GuidePedagoArial"/>
  <w:font w:name="GuidePedagoNCond"/>
  <w:font w:name="GuidePedagoNCond-Bold"/>
  <w:font w:name="Times"/>
  <w:font w:name="DINOT-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left" w:pos="8168"/>
        <w:tab w:val="right" w:pos="9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Chapitre 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DINOT-Bold" w:cs="DINOT-Bold" w:eastAsia="DINOT-Bold" w:hAnsi="DINOT-Bold"/>
        <w:b w:val="1"/>
        <w:i w:val="0"/>
        <w:smallCaps w:val="0"/>
        <w:strike w:val="0"/>
        <w:color w:val="000000"/>
        <w:sz w:val="22"/>
        <w:szCs w:val="22"/>
        <w:u w:val="none"/>
        <w:shd w:fill="auto" w:val="clear"/>
        <w:vertAlign w:val="baseline"/>
        <w:rtl w:val="0"/>
      </w:rPr>
      <w:t xml:space="preserve">Recruter et superviser une équipe de téléacteurs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qFormat w:val="1"/>
  </w:style>
  <w:style w:type="paragraph" w:styleId="Titre1">
    <w:name w:val="heading 1"/>
    <w:basedOn w:val="Normal1"/>
    <w:next w:val="Normal1"/>
    <w:link w:val="Titre1Car"/>
    <w:rsid w:val="00D5281F"/>
    <w:pPr>
      <w:keepNext w:val="1"/>
      <w:keepLines w:val="1"/>
      <w:spacing w:after="120" w:before="400"/>
      <w:outlineLvl w:val="0"/>
    </w:pPr>
    <w:rPr>
      <w:sz w:val="40"/>
      <w:szCs w:val="40"/>
    </w:rPr>
  </w:style>
  <w:style w:type="paragraph" w:styleId="Titre2">
    <w:name w:val="heading 2"/>
    <w:basedOn w:val="Normal1"/>
    <w:next w:val="Normal1"/>
    <w:rsid w:val="00D5281F"/>
    <w:pPr>
      <w:keepNext w:val="1"/>
      <w:keepLines w:val="1"/>
      <w:spacing w:after="120" w:before="360"/>
      <w:outlineLvl w:val="1"/>
    </w:pPr>
    <w:rPr>
      <w:sz w:val="32"/>
      <w:szCs w:val="32"/>
    </w:rPr>
  </w:style>
  <w:style w:type="paragraph" w:styleId="Titre3">
    <w:name w:val="heading 3"/>
    <w:basedOn w:val="Normal1"/>
    <w:next w:val="Normal1"/>
    <w:rsid w:val="00D5281F"/>
    <w:pPr>
      <w:keepNext w:val="1"/>
      <w:keepLines w:val="1"/>
      <w:spacing w:after="80" w:before="320"/>
      <w:outlineLvl w:val="2"/>
    </w:pPr>
    <w:rPr>
      <w:color w:val="434343"/>
      <w:sz w:val="28"/>
      <w:szCs w:val="28"/>
    </w:rPr>
  </w:style>
  <w:style w:type="paragraph" w:styleId="Titre4">
    <w:name w:val="heading 4"/>
    <w:basedOn w:val="Normal1"/>
    <w:next w:val="Normal1"/>
    <w:rsid w:val="00D5281F"/>
    <w:pPr>
      <w:keepNext w:val="1"/>
      <w:keepLines w:val="1"/>
      <w:spacing w:after="80" w:before="280"/>
      <w:outlineLvl w:val="3"/>
    </w:pPr>
    <w:rPr>
      <w:color w:val="666666"/>
      <w:sz w:val="24"/>
      <w:szCs w:val="24"/>
    </w:rPr>
  </w:style>
  <w:style w:type="paragraph" w:styleId="Titre5">
    <w:name w:val="heading 5"/>
    <w:basedOn w:val="Normal1"/>
    <w:next w:val="Normal1"/>
    <w:rsid w:val="00D5281F"/>
    <w:pPr>
      <w:keepNext w:val="1"/>
      <w:keepLines w:val="1"/>
      <w:spacing w:after="80" w:before="240"/>
      <w:outlineLvl w:val="4"/>
    </w:pPr>
    <w:rPr>
      <w:color w:val="666666"/>
    </w:rPr>
  </w:style>
  <w:style w:type="paragraph" w:styleId="Titre6">
    <w:name w:val="heading 6"/>
    <w:basedOn w:val="Normal1"/>
    <w:next w:val="Normal1"/>
    <w:rsid w:val="00D5281F"/>
    <w:pPr>
      <w:keepNext w:val="1"/>
      <w:keepLines w:val="1"/>
      <w:spacing w:after="80" w:before="240"/>
      <w:outlineLvl w:val="5"/>
    </w:pPr>
    <w:rPr>
      <w:i w:val="1"/>
      <w:color w:val="666666"/>
    </w:rPr>
  </w:style>
  <w:style w:type="paragraph" w:styleId="Titre7">
    <w:name w:val="heading 7"/>
    <w:basedOn w:val="Normal"/>
    <w:next w:val="Normal"/>
    <w:link w:val="Titre7Car"/>
    <w:uiPriority w:val="9"/>
    <w:unhideWhenUsed w:val="1"/>
    <w:qFormat w:val="1"/>
    <w:rsid w:val="00E17BF5"/>
    <w:pPr>
      <w:keepNext w:val="1"/>
      <w:keepLines w:val="1"/>
      <w:spacing w:before="40"/>
      <w:outlineLvl w:val="6"/>
    </w:pPr>
    <w:rPr>
      <w:rFonts w:asciiTheme="majorHAnsi" w:cstheme="majorBidi" w:eastAsiaTheme="majorEastAsia" w:hAnsiTheme="majorHAnsi"/>
      <w:i w:val="1"/>
      <w:iCs w:val="1"/>
      <w:color w:val="243f60" w:themeColor="accent1" w:themeShade="00007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Normal1" w:customStyle="1">
    <w:name w:val="Normal1"/>
    <w:link w:val="Normal1Car"/>
    <w:rsid w:val="00D5281F"/>
  </w:style>
  <w:style w:type="table" w:styleId="TableNormal" w:customStyle="1">
    <w:name w:val="Table Normal"/>
    <w:rsid w:val="00D5281F"/>
    <w:tblPr>
      <w:tblCellMar>
        <w:top w:w="0.0" w:type="dxa"/>
        <w:left w:w="0.0" w:type="dxa"/>
        <w:bottom w:w="0.0" w:type="dxa"/>
        <w:right w:w="0.0" w:type="dxa"/>
      </w:tblCellMar>
    </w:tblPr>
  </w:style>
  <w:style w:type="paragraph" w:styleId="Titre">
    <w:name w:val="Title"/>
    <w:basedOn w:val="Normal1"/>
    <w:next w:val="Normal1"/>
    <w:rsid w:val="00D5281F"/>
    <w:pPr>
      <w:keepNext w:val="1"/>
      <w:keepLines w:val="1"/>
      <w:spacing w:after="60"/>
    </w:pPr>
    <w:rPr>
      <w:sz w:val="52"/>
      <w:szCs w:val="52"/>
    </w:rPr>
  </w:style>
  <w:style w:type="paragraph" w:styleId="Sous-titre">
    <w:name w:val="Subtitle"/>
    <w:basedOn w:val="Normal1"/>
    <w:next w:val="Normal1"/>
    <w:rsid w:val="00D5281F"/>
    <w:pPr>
      <w:keepNext w:val="1"/>
      <w:keepLines w:val="1"/>
      <w:spacing w:after="320"/>
    </w:pPr>
    <w:rPr>
      <w:color w:val="666666"/>
      <w:sz w:val="30"/>
      <w:szCs w:val="30"/>
    </w:rPr>
  </w:style>
  <w:style w:type="paragraph" w:styleId="Textedebulles">
    <w:name w:val="Balloon Text"/>
    <w:basedOn w:val="Normal"/>
    <w:link w:val="TextedebullesCar"/>
    <w:uiPriority w:val="99"/>
    <w:semiHidden w:val="1"/>
    <w:unhideWhenUsed w:val="1"/>
    <w:rsid w:val="00357020"/>
    <w:pPr>
      <w:spacing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357020"/>
    <w:rPr>
      <w:rFonts w:ascii="Tahoma" w:cs="Tahoma" w:hAnsi="Tahoma"/>
      <w:sz w:val="16"/>
      <w:szCs w:val="16"/>
    </w:rPr>
  </w:style>
  <w:style w:type="paragraph" w:styleId="CorrigNDRCFoucher" w:customStyle="1">
    <w:name w:val="Corrigé NDRC Foucher"/>
    <w:basedOn w:val="Normal"/>
    <w:link w:val="CorrigNDRCFoucherCar"/>
    <w:qFormat w:val="1"/>
    <w:rsid w:val="00E17BF5"/>
    <w:rPr>
      <w:rFonts w:ascii="Calibri" w:hAnsi="Calibri"/>
      <w:sz w:val="24"/>
    </w:rPr>
  </w:style>
  <w:style w:type="character" w:styleId="Titre7Car" w:customStyle="1">
    <w:name w:val="Titre 7 Car"/>
    <w:basedOn w:val="Policepardfaut"/>
    <w:link w:val="Titre7"/>
    <w:uiPriority w:val="9"/>
    <w:rsid w:val="00E17BF5"/>
    <w:rPr>
      <w:rFonts w:asciiTheme="majorHAnsi" w:cstheme="majorBidi" w:eastAsiaTheme="majorEastAsia" w:hAnsiTheme="majorHAnsi"/>
      <w:i w:val="1"/>
      <w:iCs w:val="1"/>
      <w:color w:val="243f60" w:themeColor="accent1" w:themeShade="00007F"/>
    </w:rPr>
  </w:style>
  <w:style w:type="character" w:styleId="CorrigNDRCFoucherCar" w:customStyle="1">
    <w:name w:val="Corrigé NDRC Foucher Car"/>
    <w:basedOn w:val="Policepardfaut"/>
    <w:link w:val="CorrigNDRCFoucher"/>
    <w:rsid w:val="00E17BF5"/>
    <w:rPr>
      <w:rFonts w:ascii="Calibri" w:hAnsi="Calibri"/>
      <w:sz w:val="24"/>
    </w:rPr>
  </w:style>
  <w:style w:type="paragraph" w:styleId="TitrecorrigNDRCFoucher" w:customStyle="1">
    <w:name w:val="Titre corrigé NDRC Foucher"/>
    <w:basedOn w:val="Titre7"/>
    <w:link w:val="TitrecorrigNDRCFoucherCar"/>
    <w:qFormat w:val="1"/>
    <w:rsid w:val="00E17BF5"/>
    <w:rPr>
      <w:rFonts w:eastAsia="Times New Roman"/>
      <w:i w:val="0"/>
      <w:color w:val="auto"/>
      <w:sz w:val="24"/>
    </w:rPr>
  </w:style>
  <w:style w:type="paragraph" w:styleId="Style1" w:customStyle="1">
    <w:name w:val="Style1"/>
    <w:basedOn w:val="TitrecorrigNDRCFoucher"/>
    <w:link w:val="Style1Car"/>
    <w:qFormat w:val="1"/>
    <w:rsid w:val="00225404"/>
    <w:pPr>
      <w:numPr>
        <w:numId w:val="10"/>
      </w:numPr>
    </w:pPr>
  </w:style>
  <w:style w:type="character" w:styleId="TitrecorrigNDRCFoucherCar" w:customStyle="1">
    <w:name w:val="Titre corrigé NDRC Foucher Car"/>
    <w:basedOn w:val="Titre7Car"/>
    <w:link w:val="TitrecorrigNDRCFoucher"/>
    <w:rsid w:val="00E17BF5"/>
    <w:rPr>
      <w:rFonts w:eastAsia="Times New Roman" w:asciiTheme="majorHAnsi" w:cstheme="majorBidi" w:hAnsiTheme="majorHAnsi"/>
      <w:i w:val="0"/>
      <w:iCs w:val="1"/>
      <w:color w:val="auto"/>
      <w:sz w:val="24"/>
    </w:rPr>
  </w:style>
  <w:style w:type="paragraph" w:styleId="Style2" w:customStyle="1">
    <w:name w:val="Style2"/>
    <w:basedOn w:val="TitrecorrigNDRCFoucher"/>
    <w:link w:val="Style2Car"/>
    <w:qFormat w:val="1"/>
    <w:rsid w:val="00566BE4"/>
    <w:pPr>
      <w:outlineLvl w:val="0"/>
    </w:pPr>
  </w:style>
  <w:style w:type="character" w:styleId="Style1Car" w:customStyle="1">
    <w:name w:val="Style1 Car"/>
    <w:basedOn w:val="TitrecorrigNDRCFoucherCar"/>
    <w:link w:val="Style1"/>
    <w:rsid w:val="00225404"/>
    <w:rPr>
      <w:rFonts w:eastAsia="Times New Roman" w:asciiTheme="majorHAnsi" w:cstheme="majorBidi" w:hAnsiTheme="majorHAnsi"/>
      <w:i w:val="0"/>
      <w:iCs w:val="1"/>
      <w:color w:val="auto"/>
      <w:sz w:val="24"/>
    </w:rPr>
  </w:style>
  <w:style w:type="paragraph" w:styleId="Titre1corrigFoucher" w:customStyle="1">
    <w:name w:val="Titre 1 corrigé Foucher"/>
    <w:basedOn w:val="Titre1"/>
    <w:link w:val="Titre1corrigFoucherCar"/>
    <w:qFormat w:val="1"/>
    <w:rsid w:val="00B61FBD"/>
    <w:rPr>
      <w:rFonts w:ascii="Calibri" w:eastAsia="Times New Roman" w:hAnsi="Calibri"/>
      <w:color w:val="auto"/>
      <w:sz w:val="24"/>
    </w:rPr>
  </w:style>
  <w:style w:type="character" w:styleId="Style2Car" w:customStyle="1">
    <w:name w:val="Style2 Car"/>
    <w:basedOn w:val="TitrecorrigNDRCFoucherCar"/>
    <w:link w:val="Style2"/>
    <w:rsid w:val="00566BE4"/>
    <w:rPr>
      <w:rFonts w:eastAsia="Times New Roman" w:asciiTheme="majorHAnsi" w:cstheme="majorBidi" w:hAnsiTheme="majorHAnsi"/>
      <w:i w:val="0"/>
      <w:iCs w:val="1"/>
      <w:color w:val="auto"/>
      <w:sz w:val="24"/>
    </w:rPr>
  </w:style>
  <w:style w:type="paragraph" w:styleId="Paragraphedeliste">
    <w:name w:val="List Paragraph"/>
    <w:basedOn w:val="Normal"/>
    <w:uiPriority w:val="34"/>
    <w:qFormat w:val="1"/>
    <w:rsid w:val="009D431B"/>
    <w:pPr>
      <w:pBdr>
        <w:top w:color="auto" w:space="0" w:sz="0" w:val="none"/>
        <w:left w:color="auto" w:space="0" w:sz="0" w:val="none"/>
        <w:bottom w:color="auto" w:space="0" w:sz="0" w:val="none"/>
        <w:right w:color="auto" w:space="0" w:sz="0" w:val="none"/>
        <w:between w:color="auto" w:space="0" w:sz="0" w:val="none"/>
      </w:pBdr>
      <w:spacing w:line="240" w:lineRule="auto"/>
      <w:ind w:left="720"/>
      <w:contextualSpacing w:val="1"/>
    </w:pPr>
    <w:rPr>
      <w:rFonts w:ascii="Times New Roman" w:cs="Times New Roman" w:eastAsia="Times New Roman" w:hAnsi="Times New Roman"/>
      <w:color w:val="auto"/>
      <w:sz w:val="24"/>
      <w:szCs w:val="24"/>
    </w:rPr>
  </w:style>
  <w:style w:type="character" w:styleId="Normal1Car" w:customStyle="1">
    <w:name w:val="Normal1 Car"/>
    <w:basedOn w:val="Policepardfaut"/>
    <w:link w:val="Normal1"/>
    <w:rsid w:val="00B61FBD"/>
  </w:style>
  <w:style w:type="character" w:styleId="Titre1Car" w:customStyle="1">
    <w:name w:val="Titre 1 Car"/>
    <w:basedOn w:val="Normal1Car"/>
    <w:link w:val="Titre1"/>
    <w:rsid w:val="00B61FBD"/>
    <w:rPr>
      <w:sz w:val="40"/>
      <w:szCs w:val="40"/>
    </w:rPr>
  </w:style>
  <w:style w:type="character" w:styleId="Titre1corrigFoucherCar" w:customStyle="1">
    <w:name w:val="Titre 1 corrigé Foucher Car"/>
    <w:basedOn w:val="Titre1Car"/>
    <w:link w:val="Titre1corrigFoucher"/>
    <w:rsid w:val="00B61FBD"/>
    <w:rPr>
      <w:rFonts w:ascii="Calibri" w:eastAsia="Times New Roman" w:hAnsi="Calibri"/>
      <w:color w:val="auto"/>
      <w:sz w:val="24"/>
      <w:szCs w:val="40"/>
    </w:rPr>
  </w:style>
  <w:style w:type="character" w:styleId="lev">
    <w:name w:val="Strong"/>
    <w:basedOn w:val="Policepardfaut"/>
    <w:uiPriority w:val="22"/>
    <w:qFormat w:val="1"/>
    <w:rsid w:val="000270E6"/>
    <w:rPr>
      <w:b w:val="1"/>
      <w:bCs w:val="1"/>
    </w:rPr>
  </w:style>
  <w:style w:type="character" w:styleId="Marquedecommentaire">
    <w:name w:val="annotation reference"/>
    <w:basedOn w:val="Policepardfaut"/>
    <w:uiPriority w:val="99"/>
    <w:semiHidden w:val="1"/>
    <w:unhideWhenUsed w:val="1"/>
    <w:rsid w:val="00371542"/>
    <w:rPr>
      <w:sz w:val="16"/>
      <w:szCs w:val="16"/>
    </w:rPr>
  </w:style>
  <w:style w:type="paragraph" w:styleId="Commentaire">
    <w:name w:val="annotation text"/>
    <w:basedOn w:val="Normal"/>
    <w:link w:val="CommentaireCar"/>
    <w:uiPriority w:val="99"/>
    <w:semiHidden w:val="1"/>
    <w:unhideWhenUsed w:val="1"/>
    <w:rsid w:val="00371542"/>
    <w:pPr>
      <w:spacing w:line="240" w:lineRule="auto"/>
    </w:pPr>
    <w:rPr>
      <w:sz w:val="20"/>
      <w:szCs w:val="20"/>
    </w:rPr>
  </w:style>
  <w:style w:type="character" w:styleId="CommentaireCar" w:customStyle="1">
    <w:name w:val="Commentaire Car"/>
    <w:basedOn w:val="Policepardfaut"/>
    <w:link w:val="Commentaire"/>
    <w:uiPriority w:val="99"/>
    <w:semiHidden w:val="1"/>
    <w:rsid w:val="00371542"/>
    <w:rPr>
      <w:sz w:val="20"/>
      <w:szCs w:val="20"/>
    </w:rPr>
  </w:style>
  <w:style w:type="paragraph" w:styleId="Objetducommentaire">
    <w:name w:val="annotation subject"/>
    <w:basedOn w:val="Commentaire"/>
    <w:next w:val="Commentaire"/>
    <w:link w:val="ObjetducommentaireCar"/>
    <w:uiPriority w:val="99"/>
    <w:semiHidden w:val="1"/>
    <w:unhideWhenUsed w:val="1"/>
    <w:rsid w:val="00371542"/>
    <w:rPr>
      <w:b w:val="1"/>
      <w:bCs w:val="1"/>
    </w:rPr>
  </w:style>
  <w:style w:type="character" w:styleId="ObjetducommentaireCar" w:customStyle="1">
    <w:name w:val="Objet du commentaire Car"/>
    <w:basedOn w:val="CommentaireCar"/>
    <w:link w:val="Objetducommentaire"/>
    <w:uiPriority w:val="99"/>
    <w:semiHidden w:val="1"/>
    <w:rsid w:val="00371542"/>
    <w:rPr>
      <w:b w:val="1"/>
      <w:bCs w:val="1"/>
      <w:sz w:val="20"/>
      <w:szCs w:val="20"/>
    </w:rPr>
  </w:style>
  <w:style w:type="paragraph" w:styleId="En-tte">
    <w:name w:val="header"/>
    <w:basedOn w:val="Normal"/>
    <w:link w:val="En-tteCar"/>
    <w:uiPriority w:val="99"/>
    <w:unhideWhenUsed w:val="1"/>
    <w:rsid w:val="003E0704"/>
    <w:pPr>
      <w:tabs>
        <w:tab w:val="center" w:pos="4536"/>
        <w:tab w:val="right" w:pos="9072"/>
      </w:tabs>
      <w:spacing w:line="240" w:lineRule="auto"/>
    </w:pPr>
  </w:style>
  <w:style w:type="character" w:styleId="En-tteCar" w:customStyle="1">
    <w:name w:val="En-tête Car"/>
    <w:basedOn w:val="Policepardfaut"/>
    <w:link w:val="En-tte"/>
    <w:uiPriority w:val="99"/>
    <w:rsid w:val="003E0704"/>
  </w:style>
  <w:style w:type="paragraph" w:styleId="Pieddepage">
    <w:name w:val="footer"/>
    <w:basedOn w:val="Normal"/>
    <w:link w:val="PieddepageCar"/>
    <w:uiPriority w:val="99"/>
    <w:unhideWhenUsed w:val="1"/>
    <w:rsid w:val="003E0704"/>
    <w:pPr>
      <w:tabs>
        <w:tab w:val="center" w:pos="4536"/>
        <w:tab w:val="right" w:pos="9072"/>
      </w:tabs>
      <w:spacing w:line="240" w:lineRule="auto"/>
    </w:pPr>
  </w:style>
  <w:style w:type="character" w:styleId="PieddepageCar" w:customStyle="1">
    <w:name w:val="Pied de page Car"/>
    <w:basedOn w:val="Policepardfaut"/>
    <w:link w:val="Pieddepage"/>
    <w:uiPriority w:val="99"/>
    <w:rsid w:val="003E0704"/>
  </w:style>
  <w:style w:type="character" w:styleId="Bold" w:customStyle="1">
    <w:name w:val="Bold"/>
    <w:rsid w:val="003E0704"/>
    <w:rPr>
      <w:b w:val="1"/>
      <w:bCs w:val="1"/>
    </w:rPr>
  </w:style>
  <w:style w:type="character" w:styleId="Folio" w:customStyle="1">
    <w:name w:val="Folio"/>
    <w:rsid w:val="003E0704"/>
    <w:rPr>
      <w:rFonts w:ascii="Guide Pedago NCond" w:cs="Guide Pedago NCond" w:hAnsi="Guide Pedago NCond"/>
      <w:b w:val="1"/>
      <w:bCs w:val="1"/>
      <w:color w:val="000000"/>
      <w:spacing w:val="0"/>
      <w:w w:val="100"/>
      <w:sz w:val="20"/>
      <w:szCs w:val="20"/>
      <w:u w:val="none"/>
      <w:vertAlign w:val="baseline"/>
      <w:lang w:val="fr-FR"/>
    </w:r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II52d9YsD3P/UCYpNl5j7y7m8A==">AMUW2mVFUMwXtMJDJIWijmZMCB4PVyqwjM+8VFEWAx5Bqb8k2ATfmNwwLMyLlKg7oMoQKDh6ctQwOaouTUEVoXAyiUj+UVC/Uy+0xRfpJRR/0c5WFcKH8KOjfdQwkYUtpT0A5nOAnrpq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2018-06-01T14:38:00Z</dcterms:created>
  <dc:creator>WIN 7</dc:creator>
</cp:coreProperties>
</file>