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0"/>
        <w:pBdr>
          <w:top w:space="0" w:sz="0" w:val="nil"/>
          <w:left w:space="0" w:sz="0" w:val="nil"/>
          <w:bottom w:space="0" w:sz="0" w:val="nil"/>
          <w:right w:space="0" w:sz="0" w:val="nil"/>
          <w:between w:space="0" w:sz="0" w:val="nil"/>
        </w:pBdr>
        <w:shd w:fill="auto" w:val="clear"/>
        <w:spacing w:after="397" w:before="0" w:line="240" w:lineRule="auto"/>
        <w:ind w:left="1417" w:right="0" w:hanging="1417"/>
        <w:jc w:val="left"/>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Pr>
      </w:pPr>
      <w:r w:rsidDel="00000000" w:rsidR="00000000" w:rsidRPr="00000000">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tl w:val="0"/>
        </w:rPr>
        <w:t xml:space="preserve">Synthèse utiliser les réseaux sociaux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w:t>
      </w: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présence des entreprises sur les réseaux sociaux est devenue incontournable. Pour être visible, il faut aller à la rencontre des consommateurs là où ils sont, faire connaître son enseigne, ses produits et services, mais, avant de se lancer, il faut définir une stratégie et se fixer des objectifs précis.</w:t>
      </w:r>
    </w:p>
    <w:p w:rsidR="00000000" w:rsidDel="00000000" w:rsidP="00000000" w:rsidRDefault="00000000" w:rsidRPr="00000000" w14:paraId="00000003">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w:t>
        <w:tab/>
        <w:t xml:space="preserve">Définir une stratégie social média</w:t>
      </w:r>
    </w:p>
    <w:p w:rsidR="00000000" w:rsidDel="00000000" w:rsidP="00000000" w:rsidRDefault="00000000" w:rsidRPr="00000000" w14:paraId="000000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1. Se fixer des objectifs social média précis et mesurables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Exemple : attirer de nouveaux clients, développer la notoriété, entretenir une relation client et dialoguer avec les communautés pour connaître leurs attentes, recruter des collaborateurs.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Être présent sur les réseaux sociaux, c’est interagir avec ses fans, renouveler le contenu, susciter les intérêts en créant des contenus originaux.</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storytelling, les images, les vidéos accrochent mieux qu’un texte. Les contenus utiles, les événements, les interactions, les promotions provoquent mieux le désir que les catalogues.</w:t>
      </w:r>
    </w:p>
    <w:p w:rsidR="00000000" w:rsidDel="00000000" w:rsidP="00000000" w:rsidRDefault="00000000" w:rsidRPr="00000000" w14:paraId="000000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2. Définir sa persona marketing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 persona Marketing est un personnage fictif qui représente un groupe cible ayant des comportements et des motivations similaires. Il est généralement doté d’un prénom et de caractéristiques psychologiques et sociales. La construction du persona se fait à partir d’informations recueillies par questionnaire, entretien, brainstorming, interrogation des commerciaux, etc.</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Exemple : un persona pour le lancement d’un nouveau maquillage express destiné aux jeunes femmes actives pourrait être « Jennifer, 30 ans, 1 enfant, citadine, cadre, qui suit la mode, hyperactive, accro au smartphone… ».</w:t>
      </w:r>
    </w:p>
    <w:p w:rsidR="00000000" w:rsidDel="00000000" w:rsidP="00000000" w:rsidRDefault="00000000" w:rsidRPr="00000000" w14:paraId="0000000B">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II</w:t>
        <w:tab/>
        <w:t xml:space="preserve">Choisir les réseaux sociaux adaptés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Les réseaux sociaux présentent des caractéristiques techniques et sociales différentes selon les cibles.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L’entreprise doit choisir les réseaux sociaux les mieux adaptés à sa cible et aux objectifs fixés.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On ne communique pas avec des jeunes sur Snapchat ou Instagram comme avec des CSP + sur Twitter ou LinkedIn.</w:t>
      </w:r>
    </w:p>
    <w:p w:rsidR="00000000" w:rsidDel="00000000" w:rsidP="00000000" w:rsidRDefault="00000000" w:rsidRPr="00000000" w14:paraId="0000000F">
      <w:pPr>
        <w:pageBreakBefore w:val="0"/>
        <w:spacing w:line="276" w:lineRule="auto"/>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Les réseaux sociaux les plus fréquentés sont (source : juin 2017)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Facebook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Premier réseau social au monde avec 2 milliards d’utilisateurs dans le monde et 33 millions d’utilisateurs actifs par mois en France dont 48 % d’hommes et 52 % de femmes. 29 % des utilisateurs sont âgés de 20 à 29 ans. 18 millions se connectent avec un smartphone et y passent 50 mn en moyenne par jour. Facebook permet de cibler les utilisateurs selon des critères socio-démographiques et géographiques, en fonction de leurs centres d’intérêt et de leur comportement.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Twitter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Environ 330 millions d’utilisateurs dans le monde et environ 8 millions en France dont 55 % d’hommes et 45 % de femmes. Les 25-34 ans représentent environ 25 % des utilisateurs. Les publications sont simples avec un nombre de caractères réduits. Twitter n’est pas un réseau grand public en France puisqu’on y retrouve majoritairement des CSP+, des hommes politiques, des journalistes, des sportifs, des personnalités artistiques et des cadres. C’est un média idéal pour toucher les leaders d’opinion et les prescripteurs.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Snapchat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Environ 170 millions d’utilisateurs par jour, c’est le réseau préféré des adolescents qui y partagent photos et vidéos. En France, on dénombre plus de 10 millions d’utilisateurs dont plus de 60 % de femmes. Les jeunes de moins de 25 ans sont environ 50 % et les 25-34 ans représentent 30 %. Les enseignes utilisent ce réseau pour diffuser des petits messages de promo, inciter au partage de coupons et d’offres spéciales.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Instagram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Réseau de partage de photos et vidéos qui avoisine les 800 millions d’utilisateurs dans le monde. Il est très fréquenté par les jeunes en majorité âgés de moins de 25 ans, soit environ 40 % et qui y passent en moyenne 30 mn par jour. Les 25-34 ans représentent de 30 à 35 %. On dénombre plus de 10 millions d’utilisateurs en France dont 55 % d’hommes et 45 % de femmes. Plus de 90 millions de vidéos sont postées chaque jour sur Instagram.</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YouTube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Environ 1,5 milliard de personnes consultent sur YouTube chaque mois. 35 millions de Français visitent YouTube chaque mois. Les 15-24 ans représentent 17 % et les 25-49 ans, 48%. Plus de 60 % des utilisateurs regardent YouTube à partir de leur smartphone. Les vidéos qui passionnent le plus sont la musique, le lifestyle (beauté, santé, cuisine, mode…), le sport et le bricolage. 60 % des personnes qui regardent une vidéo en parlent ou la partagent. Plus de 30 % des acheteurs d’un produit ont visionné une vidéo sur YouTube avant d’acheter celui-ci.</w:t>
      </w:r>
    </w:p>
    <w:p w:rsidR="00000000" w:rsidDel="00000000" w:rsidP="00000000" w:rsidRDefault="00000000" w:rsidRPr="00000000" w14:paraId="00000020">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III</w:t>
        <w:tab/>
        <w:t xml:space="preserve">Adopter une stratégie de contenu efficace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L’attention est difficile à capter sur les réseaux sociaux, il faut donc créer des contenus originaux et qui favorisent l’interaction.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format d’un contenu doit être varié (photos, vidéos…) ainsi que le ton adopté (humour, anecdotes, story-telling…).</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Produire du contenu efficace, créer de l’interactivité nécessite beaucoup de temps et d’organisation. Le calendrier éditorial permet d’anticiper les publications tout au long de l’année sur chacun des réseaux sociaux en tenant compte des événements et des dates clés.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calendrier éditorial mentionne en général les éléments suivants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4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2"/>
        <w:gridCol w:w="936"/>
        <w:gridCol w:w="938"/>
        <w:gridCol w:w="1249"/>
        <w:gridCol w:w="1561"/>
        <w:gridCol w:w="1718"/>
        <w:gridCol w:w="1249"/>
        <w:gridCol w:w="1559"/>
        <w:tblGridChange w:id="0">
          <w:tblGrid>
            <w:gridCol w:w="1212"/>
            <w:gridCol w:w="936"/>
            <w:gridCol w:w="938"/>
            <w:gridCol w:w="1249"/>
            <w:gridCol w:w="1561"/>
            <w:gridCol w:w="1718"/>
            <w:gridCol w:w="1249"/>
            <w:gridCol w:w="1559"/>
          </w:tblGrid>
        </w:tblGridChange>
      </w:tblGrid>
      <w:tr>
        <w:trPr>
          <w:cantSplit w:val="0"/>
          <w:trHeight w:val="543" w:hRule="atLeast"/>
          <w:tblHeader w:val="0"/>
        </w:trPr>
        <w:tc>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tl w:val="0"/>
              </w:rPr>
              <w:t xml:space="preserve">Réseaux</w:t>
            </w:r>
          </w:p>
        </w:tc>
        <w:tc>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tl w:val="0"/>
              </w:rPr>
              <w:t xml:space="preserve">Date et heure</w:t>
            </w:r>
          </w:p>
        </w:tc>
        <w:tc>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tl w:val="0"/>
              </w:rPr>
              <w:t xml:space="preserve">Auteur</w:t>
            </w:r>
          </w:p>
        </w:tc>
        <w:tc>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tl w:val="0"/>
              </w:rPr>
              <w:t xml:space="preserve">Titre du post</w:t>
            </w:r>
          </w:p>
        </w:tc>
        <w:tc>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tl w:val="0"/>
              </w:rPr>
              <w:t xml:space="preserve">Objectif du post</w:t>
            </w:r>
          </w:p>
        </w:tc>
        <w:tc>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tl w:val="0"/>
              </w:rPr>
              <w:t xml:space="preserve">Contenu (avec accroche)</w:t>
            </w:r>
          </w:p>
        </w:tc>
        <w:tc>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tl w:val="0"/>
              </w:rPr>
              <w:t xml:space="preserve">Média</w:t>
            </w:r>
          </w:p>
        </w:tc>
        <w:tc>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1"/>
                <w:bCs w:val="1"/>
                <w:i w:val="0"/>
                <w:iCs w:val="0"/>
                <w:smallCaps w:val="0"/>
                <w:strike w:val="0"/>
                <w:color w:val="000000"/>
                <w:sz w:val="16"/>
                <w:szCs w:val="16"/>
                <w:u w:val="none"/>
                <w:shd w:fill="auto" w:val="clear"/>
                <w:vertAlign w:val="baseline"/>
                <w:rtl w:val="0"/>
              </w:rPr>
              <w:t xml:space="preserve">Mots-clés</w:t>
            </w:r>
          </w:p>
        </w:tc>
      </w:tr>
      <w:tr>
        <w:trPr>
          <w:cantSplit w:val="0"/>
          <w:tblHeader w:val="0"/>
        </w:trPr>
        <w:tc>
          <w:tcPr>
            <w:shd w:fill="auto" w:val="clea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Facebook</w:t>
            </w:r>
          </w:p>
        </w:tc>
        <w:tc>
          <w:tcPr>
            <w:shd w:fill="auto" w:val="clea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12.01</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9 heures</w:t>
            </w:r>
          </w:p>
        </w:tc>
        <w:tc>
          <w:tcPr>
            <w:shd w:fill="auto" w:val="clea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Jules</w:t>
            </w:r>
          </w:p>
        </w:tc>
        <w:tc>
          <w:tcPr>
            <w:shd w:fill="auto" w:val="clea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Réduire votre facture</w:t>
            </w:r>
          </w:p>
        </w:tc>
        <w:tc>
          <w:tcPr>
            <w:shd w:fill="auto" w:val="clea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Sensibiliser sur les économies d’énergie</w:t>
            </w:r>
          </w:p>
        </w:tc>
        <w:tc>
          <w:tcPr>
            <w:shd w:fill="auto" w:val="clea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Faites plaisir à la planète et à votre portefeuille !</w:t>
            </w:r>
          </w:p>
        </w:tc>
        <w:tc>
          <w:tcPr>
            <w:shd w:fill="auto" w:val="clea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Vidéo (lien sur notre chaîne YouTube)</w:t>
            </w:r>
          </w:p>
        </w:tc>
        <w:tc>
          <w:tcPr>
            <w:shd w:fill="auto" w:val="clea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Pompe à chaleur, économie, protection</w:t>
            </w:r>
          </w:p>
        </w:tc>
      </w:tr>
      <w:tr>
        <w:trPr>
          <w:cantSplit w:val="0"/>
          <w:tblHeader w:val="0"/>
        </w:trPr>
        <w:tc>
          <w:tcPr>
            <w:shd w:fill="auto" w:val="clea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Twitter</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12.01</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13 heures</w:t>
            </w:r>
          </w:p>
        </w:tc>
        <w:tc>
          <w:tcPr>
            <w:shd w:fill="auto" w:val="clea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Marc</w:t>
            </w:r>
          </w:p>
        </w:tc>
        <w:tc>
          <w:tcPr>
            <w:shd w:fill="auto" w:val="clea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Se chauffer intelligent</w:t>
            </w:r>
          </w:p>
        </w:tc>
        <w:tc>
          <w:tcPr>
            <w:shd w:fill="auto" w:val="clea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Responsabiliser les CSP +</w:t>
            </w:r>
          </w:p>
        </w:tc>
        <w:tc>
          <w:tcPr>
            <w:shd w:fill="auto" w:val="clea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Protéger l’environnement est notre responsabilité.</w:t>
            </w:r>
          </w:p>
        </w:tc>
        <w:tc>
          <w:tcPr>
            <w:shd w:fill="auto" w:val="clea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Photo.Img</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001/18</w:t>
            </w:r>
          </w:p>
        </w:tc>
        <w:tc>
          <w:tcPr>
            <w:shd w:fill="auto" w:val="clea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tl w:val="0"/>
              </w:rPr>
              <w:t xml:space="preserve">Environnement, planète, pompe à chaleur, santé.</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idePedagoNCond" w:cs="GuidePedagoNCond" w:eastAsia="GuidePedagoNCond" w:hAnsi="GuidePedagoNCond"/>
          <w:b w:val="0"/>
          <w:bCs w:val="0"/>
          <w:i w:val="0"/>
          <w:iCs w:val="0"/>
          <w:smallCaps w:val="0"/>
          <w:strike w:val="0"/>
          <w:color w:val="000000"/>
          <w:sz w:val="16"/>
          <w:szCs w:val="16"/>
          <w:u w:val="none"/>
          <w:shd w:fill="auto" w:val="clear"/>
          <w:vertAlign w:val="baseline"/>
        </w:rPr>
      </w:pPr>
      <w:r w:rsidDel="00000000" w:rsidR="00000000" w:rsidRPr="00000000">
        <w:rPr>
          <w:rtl w:val="0"/>
        </w:rPr>
      </w:r>
    </w:p>
    <w:sectPr>
      <w:footerReference r:id="rId6" w:type="default"/>
      <w:footerReference r:id="rId7"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GuidePedagoArial"/>
  <w:font w:name="Guide Pedago Arial"/>
  <w:font w:name="GuidePedagoNCond"/>
  <w:font w:name="GuidePedagogique"/>
  <w:font w:name="DINOT-Bold"/>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tabs>
        <w:tab w:val="right" w:leader="none" w:pos="7340"/>
        <w:tab w:val="right" w:leader="none" w:pos="9072"/>
      </w:tabs>
      <w:spacing w:after="0" w:before="0" w:line="276" w:lineRule="auto"/>
      <w:ind w:left="0" w:right="0" w:firstLine="0"/>
      <w:jc w:val="both"/>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tl w:val="0"/>
      </w:rPr>
      <w:tab/>
      <w:t xml:space="preserve">Situation professionnelle – Notra-K</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0" w:right="0" w:firstLine="0"/>
      <w:jc w:val="left"/>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Pr>
    </w:pPr>
    <w:r w:rsidDel="00000000" w:rsidR="00000000" w:rsidRPr="00000000">
      <w:rPr>
        <w:rFonts w:ascii="Guide Pedago Arial" w:cs="Guide Pedago Arial" w:eastAsia="Guide Pedago Arial" w:hAnsi="Guide Pedago Arial"/>
        <w:b w:val="1"/>
        <w:bCs w:val="1"/>
        <w:i w:val="0"/>
        <w:iCs w:val="0"/>
        <w:smallCaps w:val="0"/>
        <w:strike w:val="0"/>
        <w:color w:val="000000"/>
        <w:sz w:val="17"/>
        <w:szCs w:val="17"/>
        <w:u w:val="none"/>
        <w:shd w:fill="auto" w:val="clear"/>
        <w:vertAlign w:val="baseline"/>
        <w:rtl w:val="0"/>
      </w:rPr>
      <w:t xml:space="preserve">Chapitre 8</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 xml:space="preserve"> – </w:t>
    </w:r>
    <w:r w:rsidDel="00000000" w:rsidR="00000000" w:rsidRPr="00000000">
      <w:rPr>
        <w:rFonts w:ascii="DINOT-Bold" w:cs="DINOT-Bold" w:eastAsia="DINOT-Bold" w:hAnsi="DINOT-Bold"/>
        <w:b w:val="1"/>
        <w:bCs w:val="1"/>
        <w:i w:val="0"/>
        <w:iCs w:val="0"/>
        <w:smallCaps w:val="0"/>
        <w:strike w:val="0"/>
        <w:color w:val="000000"/>
        <w:sz w:val="17"/>
        <w:szCs w:val="17"/>
        <w:u w:val="none"/>
        <w:shd w:fill="auto" w:val="clear"/>
        <w:vertAlign w:val="baseline"/>
        <w:rtl w:val="0"/>
      </w:rPr>
      <w:t xml:space="preserve">Utiliser les réseaux sociaux</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200" w:line="26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