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Pr>
      </w:pPr>
      <w:r w:rsidDel="00000000" w:rsidR="00000000" w:rsidRPr="00000000">
        <w:br w:type="page"/>
      </w:r>
      <w:r w:rsidDel="00000000" w:rsidR="00000000" w:rsidRPr="00000000">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tl w:val="0"/>
        </w:rPr>
        <w:t xml:space="preserve">Synthèse animer avec les réseaux sociaux</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Les réseaux sociaux permettent de créer autour de l’entreprise une communauté de personnes qui vont partager un intérêt commun. Pour gérer cette communauté il faut donc mettre en place une stratégie d’animation cohérente avec les objectifs social média de l’entreprise.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Animer une communauté nécessite des capacités rédactionnelles et des techniques d’accroche comme celle inspirées par la méthode AIDA afin d’attirer l’attention, susciter de l’intérêt, déclencher le désir et faire passer à l’action.</w:t>
      </w:r>
    </w:p>
    <w:p w:rsidR="00000000" w:rsidDel="00000000" w:rsidP="00000000" w:rsidRDefault="00000000" w:rsidRPr="00000000" w14:paraId="00000005">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w:t>
        <w:tab/>
        <w:t xml:space="preserve">Mettre en place un community management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Une fois les objectifs du positionnement de l’entreprise sur les réseaux sociaux définis et les plateformes médias sélectionnées, la bonne pratique du community management consiste à se fixer une ligne de conduite claire qui vise à se concentrer exclusivement sur les objectifs fixés et à ne pas s’éparpiller. La réussite des actions sur les réseaux sociaux passe par un contenu qui crée de la valeur et se focalise sur le besoin du client.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community management désigne les actions qui permettent d'animer, de fédérer et de susciter l’engagement d’une communauté sur les réseaux sociaux et sur le Web en général. Une communauté désigne un ensemble des personnes qui partagent un intérêt en commun. Il peut s’agir de clients, de prospects, de partenaires. L’entreprise doit interagir avec cette composante pour développer son e-réputation et fidéliser sa communauté.</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pratique du community management englobe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la liaison entre les membres d’une communauté et les clients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la promotion des produits et des événements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la gestion de l’e-réputation de l’entreprise ou de la marque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la veille informationnelle et concurrentielle.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Chaque réseau ayant sa spécificité et sa communauté-cible, les messages ne doivent pas être identiques. Le style rédactionnel à adopter sur Snapchat n’est pas le même que celui de LinkedIn par exemple.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Enfin, les clients passent d’un réseau à un autre et marquent un arrêt dès qu’ils constatent que l’on s’intéresse à eux, à leurs attentes et non pas en vantant les qualités d’un produit. Un post, un tweet, une photo ne doivent pas ressembler à des prospectus commerciaux.</w:t>
      </w:r>
    </w:p>
    <w:p w:rsidR="00000000" w:rsidDel="00000000" w:rsidP="00000000" w:rsidRDefault="00000000" w:rsidRPr="00000000" w14:paraId="00000013">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bookmarkStart w:colFirst="0" w:colLast="0" w:name="_gjdgxs" w:id="0"/>
      <w:bookmarkEnd w:id="0"/>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w:t>
        <w:tab/>
        <w:t xml:space="preserve">Animer les communautés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réussite des actions de community management est dépendante du contenu qui doit créer de la valeur, impliquer les membres d’une communauté et attirer des fans.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Pour animer une communauté sur les réseaux sociaux, il faut produire du contenu utile et attrayant, créer des dialogues, être réactif, faire preuve d’inventivité et assurer la veille informationnelle et concurrentielle.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communauté sur les réseaux sociaux peut regrouper plusieurs membres dont les rôles sont différents. En plus de la cible principale (clients et prospects), on retrouve les influenceurs, les critiques qui animent les discussions, les adhérents aux valeurs de la marque. L’animation vise aussi  à assurer la viralité, c'est-à-dire la capacité d’un contenu à se propager via tous les membres de la communauté .Il faut donc que les membres de la communauté trouvent un intérêt à relayer le contenu.</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1"/>
          <w:iCs w:val="1"/>
          <w:smallCaps w:val="0"/>
          <w:strike w:val="0"/>
          <w:color w:val="000000"/>
          <w:sz w:val="22"/>
          <w:szCs w:val="22"/>
          <w:u w:val="none"/>
          <w:shd w:fill="auto" w:val="clear"/>
          <w:vertAlign w:val="baseline"/>
          <w:rtl w:val="0"/>
        </w:rPr>
        <w:t xml:space="preserve">Exemple</w:t>
      </w: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 une promotion, un jeu, un concours, un contenu humoristique, un scoop, etc.</w:t>
      </w:r>
    </w:p>
    <w:p w:rsidR="00000000" w:rsidDel="00000000" w:rsidP="00000000" w:rsidRDefault="00000000" w:rsidRPr="00000000" w14:paraId="0000001A">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III</w:t>
        <w:tab/>
        <w:t xml:space="preserve">Mesurer l’engagement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Ê</w:t>
      </w: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tre actif sur les réseaux sociaux est un investissement pour l’entreprise. Cette présence doit donc être rentable. Elle est mesurable à l’aide d’indicateurs :</w:t>
      </w:r>
    </w:p>
    <w:p w:rsidR="00000000" w:rsidDel="00000000" w:rsidP="00000000" w:rsidRDefault="00000000" w:rsidRPr="00000000" w14:paraId="000000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Le taux d’engagement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f243e"/>
          <w:sz w:val="22"/>
          <w:szCs w:val="22"/>
          <w:u w:val="none"/>
          <w:shd w:fill="auto" w:val="clear"/>
          <w:vertAlign w:val="baseline"/>
          <w:rtl w:val="0"/>
        </w:rPr>
        <w:t xml:space="preserve">Le </w:t>
      </w: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taux d’engagement</w:t>
      </w:r>
      <w:r w:rsidDel="00000000" w:rsidR="00000000" w:rsidRPr="00000000">
        <w:rPr>
          <w:rFonts w:ascii="GuidePedagogique" w:cs="GuidePedagogique" w:eastAsia="GuidePedagogique" w:hAnsi="GuidePedagogique"/>
          <w:b w:val="0"/>
          <w:bCs w:val="0"/>
          <w:i w:val="0"/>
          <w:iCs w:val="0"/>
          <w:smallCaps w:val="0"/>
          <w:strike w:val="0"/>
          <w:color w:val="0f243e"/>
          <w:sz w:val="22"/>
          <w:szCs w:val="22"/>
          <w:u w:val="none"/>
          <w:shd w:fill="auto" w:val="clear"/>
          <w:vertAlign w:val="baseline"/>
          <w:rtl w:val="0"/>
        </w:rPr>
        <w:t xml:space="preserve"> est un indicateur de mesure de</w:t>
      </w:r>
      <w:r w:rsidDel="00000000" w:rsidR="00000000" w:rsidRPr="00000000">
        <w:rPr>
          <w:rFonts w:ascii="GuidePedagogique" w:cs="GuidePedagogique" w:eastAsia="GuidePedagogique" w:hAnsi="GuidePedagogique"/>
          <w:b w:val="0"/>
          <w:bCs w:val="0"/>
          <w:i w:val="0"/>
          <w:iCs w:val="0"/>
          <w:smallCaps w:val="0"/>
          <w:strike w:val="0"/>
          <w:color w:val="4f81bd"/>
          <w:sz w:val="22"/>
          <w:szCs w:val="22"/>
          <w:u w:val="none"/>
          <w:shd w:fill="auto" w:val="clear"/>
          <w:vertAlign w:val="baseline"/>
          <w:rtl w:val="0"/>
        </w:rPr>
        <w:t xml:space="preserve"> </w:t>
      </w: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l’interaction des utilisateurs sur une publication.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Pour Facebook, ce sont les commentaires, les liées, les clics et les partages divisés par la portée de publication, c'est-à-dire le nombre de personnes ayant vu la publication.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Taux d’engagement Facebook = personnes engagées/portée de publication x 100</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Pour Twitter, le taux d’engagement comporte les clics, les retweets, les abonnements et les « j’aime » divisés par le nombre total d’impression c'est-à-dire le nombre d’affichage du tweet à l’écran.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Taux d’engagement Twitter = clics + retweets + abonnements + likes /total d’impression* x 100</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Total d’impression = nombre d’affichages des tweets à l’écran.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taux d’engagement est variable d’un secteur d’activité à un autre et se situe en moyenne entre 0,5 et 1 %. Au-delà de 1 %, il est considéré comme bon. Plus l’audience grandit, plus il est difficile d’avoir un taux d’engagement élevé.</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La portée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portée est un indicateur de mesure d’audience. Il faut distinguer la portée organique (une publication non payante et qui regroupe le nombre de personnes fan de la page) de la portée virale (le nombre de personnes ayant vu la publication suite à un like ou un partage) et de la portée payante (le nombre de personnes ayant vu l’annonce publicitaire dans leur fil d’actualité).</w:t>
      </w:r>
    </w:p>
    <w:sectPr>
      <w:footerReference r:id="rId6" w:type="default"/>
      <w:footerReference r:id="rId7"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idePedagoArial"/>
  <w:font w:name="Guide Pedago Arial"/>
  <w:font w:name="GuidePedagogique"/>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1"/>
        <w:bCs w:val="1"/>
        <w:i w:val="0"/>
        <w:iCs w:val="0"/>
        <w:smallCaps w:val="0"/>
        <w:strike w:val="0"/>
        <w:color w:val="000000"/>
        <w:sz w:val="17"/>
        <w:szCs w:val="17"/>
        <w:u w:val="none"/>
        <w:shd w:fill="auto" w:val="clear"/>
        <w:vertAlign w:val="baseline"/>
        <w:rtl w:val="0"/>
      </w:rPr>
      <w:t xml:space="preserve">Chapitre 9</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Animer les réseaux sociaux</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before="200" w:line="26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