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A3340" w14:textId="7962B2BA" w:rsidR="00F418FA" w:rsidRPr="00150EC2" w:rsidRDefault="00F418FA" w:rsidP="00F418FA">
      <w:pPr>
        <w:pStyle w:val="BTSBodyText"/>
        <w:rPr>
          <w:iCs w:val="0"/>
          <w:sz w:val="2"/>
          <w:szCs w:val="2"/>
        </w:rPr>
      </w:pPr>
      <w:r w:rsidRPr="00150EC2">
        <w:rPr>
          <w:noProof/>
        </w:rPr>
        <w:drawing>
          <wp:anchor distT="0" distB="0" distL="114300" distR="114300" simplePos="0" relativeHeight="251658240" behindDoc="0" locked="0" layoutInCell="1" allowOverlap="1" wp14:anchorId="0025FC10" wp14:editId="4C43AC55">
            <wp:simplePos x="0" y="0"/>
            <wp:positionH relativeFrom="column">
              <wp:posOffset>34925</wp:posOffset>
            </wp:positionH>
            <wp:positionV relativeFrom="paragraph">
              <wp:posOffset>18</wp:posOffset>
            </wp:positionV>
            <wp:extent cx="1113155" cy="1371600"/>
            <wp:effectExtent l="0" t="0" r="0" b="0"/>
            <wp:wrapSquare wrapText="bothSides"/>
            <wp:docPr id="1737108082" name="Picture 1737108082" descr="A blue circle with a black background with ships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08082" name="Picture 7" descr="A blue circle with a black background with ships in the wa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13155" cy="1371600"/>
                    </a:xfrm>
                    <a:prstGeom prst="rect">
                      <a:avLst/>
                    </a:prstGeom>
                    <a:noFill/>
                    <a:ln>
                      <a:noFill/>
                    </a:ln>
                  </pic:spPr>
                </pic:pic>
              </a:graphicData>
            </a:graphic>
          </wp:anchor>
        </w:drawing>
      </w:r>
    </w:p>
    <w:p w14:paraId="515D1769" w14:textId="77777777" w:rsidR="00F418FA" w:rsidRPr="00150EC2" w:rsidRDefault="02322D4B" w:rsidP="007A3347">
      <w:pPr>
        <w:pStyle w:val="BTSChapterNumberedMulti"/>
        <w:rPr>
          <w:lang w:val="en-US"/>
        </w:rPr>
      </w:pPr>
      <w:bookmarkStart w:id="0" w:name="_Toc187677000"/>
      <w:r>
        <w:t>Port Performance Measures of Capacity and Contributing Factors</w:t>
      </w:r>
      <w:bookmarkEnd w:id="0"/>
    </w:p>
    <w:p w14:paraId="7B57E60A" w14:textId="60D70C5C" w:rsidR="00F418FA" w:rsidRPr="00150EC2" w:rsidRDefault="00F418FA" w:rsidP="00F418FA">
      <w:pPr>
        <w:pStyle w:val="BTSBodyText"/>
      </w:pPr>
      <w:r w:rsidRPr="00150EC2">
        <w:t xml:space="preserve">Measuring port capacity is complex. In principle, each terminal in a port has a physical limit to </w:t>
      </w:r>
      <w:r>
        <w:t xml:space="preserve">the </w:t>
      </w:r>
      <w:r w:rsidRPr="00150EC2">
        <w:t xml:space="preserve">throughput that can be either landside, waterside, or both. Instead of quantifying each port’s capacity, this report uses factors that limit port capacity [Wakeman 2012]. Six such elements are used in this report, as described in </w:t>
      </w:r>
      <w:r w:rsidRPr="00F128C4">
        <w:fldChar w:fldCharType="begin"/>
      </w:r>
      <w:r w:rsidRPr="00F128C4">
        <w:instrText xml:space="preserve"> REF _Ref187407667 \h </w:instrText>
      </w:r>
      <w:r>
        <w:instrText xml:space="preserve"> \* MERGEFORMAT </w:instrText>
      </w:r>
      <w:r w:rsidRPr="00F128C4">
        <w:fldChar w:fldCharType="separate"/>
      </w:r>
      <w:r w:rsidRPr="00150EC2">
        <w:t xml:space="preserve">Table </w:t>
      </w:r>
      <w:r w:rsidRPr="00150EC2">
        <w:rPr>
          <w:noProof/>
        </w:rPr>
        <w:t>6</w:t>
      </w:r>
      <w:r w:rsidRPr="00F128C4">
        <w:fldChar w:fldCharType="end"/>
      </w:r>
      <w:r w:rsidRPr="00150EC2">
        <w:t>.</w:t>
      </w:r>
    </w:p>
    <w:p w14:paraId="76211819" w14:textId="77777777" w:rsidR="00F418FA" w:rsidRPr="00150EC2" w:rsidRDefault="00F418FA" w:rsidP="00F418FA">
      <w:pPr>
        <w:pStyle w:val="BTSCaption"/>
      </w:pPr>
      <w:bookmarkStart w:id="1" w:name="_Ref187407667"/>
      <w:bookmarkStart w:id="2" w:name="_Toc187677085"/>
      <w:r w:rsidRPr="00150EC2">
        <w:t xml:space="preserve">Table </w:t>
      </w:r>
      <w:r>
        <w:fldChar w:fldCharType="begin"/>
      </w:r>
      <w:r>
        <w:instrText xml:space="preserve"> SEQ Table \* ARABIC </w:instrText>
      </w:r>
      <w:r>
        <w:fldChar w:fldCharType="separate"/>
      </w:r>
      <w:r w:rsidRPr="00150EC2">
        <w:rPr>
          <w:noProof/>
        </w:rPr>
        <w:t>6</w:t>
      </w:r>
      <w:r>
        <w:rPr>
          <w:noProof/>
        </w:rPr>
        <w:fldChar w:fldCharType="end"/>
      </w:r>
      <w:bookmarkEnd w:id="1"/>
      <w:r w:rsidRPr="00150EC2">
        <w:t>. Port Capacity Measures</w:t>
      </w:r>
      <w:bookmarkEnd w:id="2"/>
    </w:p>
    <w:tbl>
      <w:tblPr>
        <w:tblStyle w:val="BTSTextualTable"/>
        <w:tblW w:w="5000" w:type="pct"/>
        <w:tblLook w:val="04A0" w:firstRow="1" w:lastRow="0" w:firstColumn="1" w:lastColumn="0" w:noHBand="0" w:noVBand="1"/>
      </w:tblPr>
      <w:tblGrid>
        <w:gridCol w:w="1960"/>
        <w:gridCol w:w="934"/>
        <w:gridCol w:w="1294"/>
        <w:gridCol w:w="993"/>
        <w:gridCol w:w="3005"/>
        <w:gridCol w:w="1174"/>
      </w:tblGrid>
      <w:tr w:rsidR="00F418FA" w:rsidRPr="00150EC2" w14:paraId="088E7CF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3" w:type="dxa"/>
          </w:tcPr>
          <w:p w14:paraId="6EA66AB2" w14:textId="77777777" w:rsidR="00F418FA" w:rsidRPr="00150EC2" w:rsidRDefault="00F418FA">
            <w:pPr>
              <w:pStyle w:val="BTSTableHeader"/>
            </w:pPr>
            <w:r w:rsidRPr="00150EC2">
              <w:t>Element/metric</w:t>
            </w:r>
          </w:p>
        </w:tc>
        <w:tc>
          <w:tcPr>
            <w:tcW w:w="937" w:type="dxa"/>
          </w:tcPr>
          <w:p w14:paraId="015812FF" w14:textId="77777777" w:rsidR="00F418FA" w:rsidRPr="00150EC2" w:rsidRDefault="00F418FA">
            <w:pPr>
              <w:pStyle w:val="BTSTableHeader"/>
              <w:cnfStyle w:val="100000000000" w:firstRow="1" w:lastRow="0" w:firstColumn="0" w:lastColumn="0" w:oddVBand="0" w:evenVBand="0" w:oddHBand="0" w:evenHBand="0" w:firstRowFirstColumn="0" w:firstRowLastColumn="0" w:lastRowFirstColumn="0" w:lastRowLastColumn="0"/>
            </w:pPr>
            <w:r w:rsidRPr="00150EC2">
              <w:t>Period</w:t>
            </w:r>
          </w:p>
        </w:tc>
        <w:tc>
          <w:tcPr>
            <w:tcW w:w="1310" w:type="dxa"/>
          </w:tcPr>
          <w:p w14:paraId="2ADD7C82" w14:textId="77777777" w:rsidR="00F418FA" w:rsidRPr="00150EC2" w:rsidRDefault="00F418FA">
            <w:pPr>
              <w:pStyle w:val="BTSTableHeader"/>
              <w:cnfStyle w:val="100000000000" w:firstRow="1" w:lastRow="0" w:firstColumn="0" w:lastColumn="0" w:oddVBand="0" w:evenVBand="0" w:oddHBand="0" w:evenHBand="0" w:firstRowFirstColumn="0" w:firstRowLastColumn="0" w:lastRowFirstColumn="0" w:lastRowLastColumn="0"/>
            </w:pPr>
            <w:r w:rsidRPr="00150EC2">
              <w:t>Most recent data</w:t>
            </w:r>
          </w:p>
        </w:tc>
        <w:tc>
          <w:tcPr>
            <w:tcW w:w="994" w:type="dxa"/>
          </w:tcPr>
          <w:p w14:paraId="0DFE3FBA" w14:textId="77777777" w:rsidR="00F418FA" w:rsidRPr="00150EC2" w:rsidRDefault="00F418FA">
            <w:pPr>
              <w:pStyle w:val="BTSTableHeader"/>
              <w:cnfStyle w:val="100000000000" w:firstRow="1" w:lastRow="0" w:firstColumn="0" w:lastColumn="0" w:oddVBand="0" w:evenVBand="0" w:oddHBand="0" w:evenHBand="0" w:firstRowFirstColumn="0" w:firstRowLastColumn="0" w:lastRowFirstColumn="0" w:lastRowLastColumn="0"/>
            </w:pPr>
            <w:r w:rsidRPr="00150EC2">
              <w:t>Unit</w:t>
            </w:r>
          </w:p>
        </w:tc>
        <w:tc>
          <w:tcPr>
            <w:tcW w:w="3053" w:type="dxa"/>
          </w:tcPr>
          <w:p w14:paraId="6DDF7FE6" w14:textId="77777777" w:rsidR="00F418FA" w:rsidRPr="00150EC2" w:rsidRDefault="00F418FA">
            <w:pPr>
              <w:pStyle w:val="BTSTableHeader"/>
              <w:cnfStyle w:val="100000000000" w:firstRow="1" w:lastRow="0" w:firstColumn="0" w:lastColumn="0" w:oddVBand="0" w:evenVBand="0" w:oddHBand="0" w:evenHBand="0" w:firstRowFirstColumn="0" w:firstRowLastColumn="0" w:lastRowFirstColumn="0" w:lastRowLastColumn="0"/>
            </w:pPr>
            <w:r w:rsidRPr="00150EC2">
              <w:t>Description</w:t>
            </w:r>
          </w:p>
        </w:tc>
        <w:tc>
          <w:tcPr>
            <w:tcW w:w="1181" w:type="dxa"/>
          </w:tcPr>
          <w:p w14:paraId="323A7B07" w14:textId="77777777" w:rsidR="00F418FA" w:rsidRPr="00150EC2" w:rsidRDefault="00F418FA">
            <w:pPr>
              <w:pStyle w:val="BTSTableHeader"/>
              <w:cnfStyle w:val="100000000000" w:firstRow="1" w:lastRow="0" w:firstColumn="0" w:lastColumn="0" w:oddVBand="0" w:evenVBand="0" w:oddHBand="0" w:evenHBand="0" w:firstRowFirstColumn="0" w:firstRowLastColumn="0" w:lastRowFirstColumn="0" w:lastRowLastColumn="0"/>
            </w:pPr>
            <w:r w:rsidRPr="00150EC2">
              <w:t>Source</w:t>
            </w:r>
          </w:p>
        </w:tc>
      </w:tr>
      <w:tr w:rsidR="00F418FA" w:rsidRPr="00150EC2" w14:paraId="5AC57783" w14:textId="77777777">
        <w:tc>
          <w:tcPr>
            <w:cnfStyle w:val="001000000000" w:firstRow="0" w:lastRow="0" w:firstColumn="1" w:lastColumn="0" w:oddVBand="0" w:evenVBand="0" w:oddHBand="0" w:evenHBand="0" w:firstRowFirstColumn="0" w:firstRowLastColumn="0" w:lastRowFirstColumn="0" w:lastRowLastColumn="0"/>
            <w:tcW w:w="1973" w:type="dxa"/>
          </w:tcPr>
          <w:p w14:paraId="5D5C8C6F" w14:textId="77777777" w:rsidR="00F418FA" w:rsidRPr="00150EC2" w:rsidRDefault="00F418FA">
            <w:pPr>
              <w:pStyle w:val="BTSTableBodyL"/>
            </w:pPr>
            <w:r w:rsidRPr="00150EC2">
              <w:t>Containership capacity</w:t>
            </w:r>
          </w:p>
        </w:tc>
        <w:tc>
          <w:tcPr>
            <w:tcW w:w="937" w:type="dxa"/>
          </w:tcPr>
          <w:p w14:paraId="42845877"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Monthly</w:t>
            </w:r>
          </w:p>
        </w:tc>
        <w:tc>
          <w:tcPr>
            <w:tcW w:w="1310" w:type="dxa"/>
          </w:tcPr>
          <w:p w14:paraId="6A429469" w14:textId="340C6F16"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202</w:t>
            </w:r>
            <w:r w:rsidR="00E52C6B">
              <w:t>5</w:t>
            </w:r>
          </w:p>
        </w:tc>
        <w:tc>
          <w:tcPr>
            <w:tcW w:w="994" w:type="dxa"/>
          </w:tcPr>
          <w:p w14:paraId="17446F6A"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TEUs</w:t>
            </w:r>
          </w:p>
        </w:tc>
        <w:tc>
          <w:tcPr>
            <w:tcW w:w="3053" w:type="dxa"/>
          </w:tcPr>
          <w:p w14:paraId="3773053B"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Capacity of containerships calling at U.S. ports</w:t>
            </w:r>
          </w:p>
        </w:tc>
        <w:tc>
          <w:tcPr>
            <w:tcW w:w="1181" w:type="dxa"/>
          </w:tcPr>
          <w:p w14:paraId="529C8C76"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USDOT MARAD</w:t>
            </w:r>
          </w:p>
        </w:tc>
      </w:tr>
      <w:tr w:rsidR="00F418FA" w:rsidRPr="00150EC2" w14:paraId="2613D6F4" w14:textId="77777777">
        <w:tc>
          <w:tcPr>
            <w:cnfStyle w:val="001000000000" w:firstRow="0" w:lastRow="0" w:firstColumn="1" w:lastColumn="0" w:oddVBand="0" w:evenVBand="0" w:oddHBand="0" w:evenHBand="0" w:firstRowFirstColumn="0" w:firstRowLastColumn="0" w:lastRowFirstColumn="0" w:lastRowLastColumn="0"/>
            <w:tcW w:w="1973" w:type="dxa"/>
          </w:tcPr>
          <w:p w14:paraId="6486C4F7" w14:textId="77777777" w:rsidR="00F418FA" w:rsidRPr="00150EC2" w:rsidRDefault="00F418FA">
            <w:pPr>
              <w:pStyle w:val="BTSTableBodyL"/>
            </w:pPr>
            <w:r w:rsidRPr="00150EC2">
              <w:t>Containerships at anchorage</w:t>
            </w:r>
          </w:p>
        </w:tc>
        <w:tc>
          <w:tcPr>
            <w:tcW w:w="937" w:type="dxa"/>
          </w:tcPr>
          <w:p w14:paraId="213F128C"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Weekly</w:t>
            </w:r>
          </w:p>
        </w:tc>
        <w:tc>
          <w:tcPr>
            <w:tcW w:w="1310" w:type="dxa"/>
          </w:tcPr>
          <w:p w14:paraId="0BB73E08" w14:textId="05DE9964"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202</w:t>
            </w:r>
            <w:r w:rsidR="00A348C1">
              <w:t>5</w:t>
            </w:r>
          </w:p>
        </w:tc>
        <w:tc>
          <w:tcPr>
            <w:tcW w:w="994" w:type="dxa"/>
          </w:tcPr>
          <w:p w14:paraId="0FD38317"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Vessels</w:t>
            </w:r>
          </w:p>
        </w:tc>
        <w:tc>
          <w:tcPr>
            <w:tcW w:w="3053" w:type="dxa"/>
          </w:tcPr>
          <w:p w14:paraId="4058B617"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Number of containerships waiting at anchorage to call at ports</w:t>
            </w:r>
          </w:p>
        </w:tc>
        <w:tc>
          <w:tcPr>
            <w:tcW w:w="1181" w:type="dxa"/>
          </w:tcPr>
          <w:p w14:paraId="264E54B1"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USDOT MARAD</w:t>
            </w:r>
          </w:p>
        </w:tc>
      </w:tr>
      <w:tr w:rsidR="00F418FA" w:rsidRPr="00150EC2" w14:paraId="58321DE4" w14:textId="77777777">
        <w:tc>
          <w:tcPr>
            <w:cnfStyle w:val="001000000000" w:firstRow="0" w:lastRow="0" w:firstColumn="1" w:lastColumn="0" w:oddVBand="0" w:evenVBand="0" w:oddHBand="0" w:evenHBand="0" w:firstRowFirstColumn="0" w:firstRowLastColumn="0" w:lastRowFirstColumn="0" w:lastRowLastColumn="0"/>
            <w:tcW w:w="1973" w:type="dxa"/>
          </w:tcPr>
          <w:p w14:paraId="622A2182" w14:textId="77777777" w:rsidR="00F418FA" w:rsidRPr="00150EC2" w:rsidRDefault="00F418FA">
            <w:pPr>
              <w:pStyle w:val="BTSTableBodyL"/>
            </w:pPr>
            <w:r w:rsidRPr="00150EC2">
              <w:t>Bridge air draft restrictions</w:t>
            </w:r>
          </w:p>
        </w:tc>
        <w:tc>
          <w:tcPr>
            <w:tcW w:w="937" w:type="dxa"/>
          </w:tcPr>
          <w:p w14:paraId="05547463"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n/a</w:t>
            </w:r>
          </w:p>
        </w:tc>
        <w:tc>
          <w:tcPr>
            <w:tcW w:w="1310" w:type="dxa"/>
          </w:tcPr>
          <w:p w14:paraId="1401AC9F" w14:textId="7E7D5A4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202</w:t>
            </w:r>
            <w:r w:rsidR="00241117">
              <w:t>5</w:t>
            </w:r>
          </w:p>
        </w:tc>
        <w:tc>
          <w:tcPr>
            <w:tcW w:w="994" w:type="dxa"/>
          </w:tcPr>
          <w:p w14:paraId="1F47FB26"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Feet</w:t>
            </w:r>
          </w:p>
        </w:tc>
        <w:tc>
          <w:tcPr>
            <w:tcW w:w="3053" w:type="dxa"/>
          </w:tcPr>
          <w:p w14:paraId="277A9ACD"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t>D</w:t>
            </w:r>
            <w:r w:rsidRPr="00150EC2">
              <w:t>istance between the mean low-level water line and the lowest point of a bridge or other structure over a shipping channel</w:t>
            </w:r>
          </w:p>
        </w:tc>
        <w:tc>
          <w:tcPr>
            <w:tcW w:w="1181" w:type="dxa"/>
          </w:tcPr>
          <w:p w14:paraId="25917494"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USACE WCSC</w:t>
            </w:r>
          </w:p>
        </w:tc>
      </w:tr>
      <w:tr w:rsidR="00F418FA" w:rsidRPr="00150EC2" w14:paraId="09CDF932" w14:textId="77777777">
        <w:tc>
          <w:tcPr>
            <w:cnfStyle w:val="001000000000" w:firstRow="0" w:lastRow="0" w:firstColumn="1" w:lastColumn="0" w:oddVBand="0" w:evenVBand="0" w:oddHBand="0" w:evenHBand="0" w:firstRowFirstColumn="0" w:firstRowLastColumn="0" w:lastRowFirstColumn="0" w:lastRowLastColumn="0"/>
            <w:tcW w:w="1973" w:type="dxa"/>
          </w:tcPr>
          <w:p w14:paraId="15B1A2A6" w14:textId="77777777" w:rsidR="00F418FA" w:rsidRPr="00150EC2" w:rsidRDefault="00F418FA">
            <w:pPr>
              <w:pStyle w:val="BTSTableBodyL"/>
            </w:pPr>
            <w:r w:rsidRPr="00150EC2">
              <w:t>Main shipping channel depth</w:t>
            </w:r>
          </w:p>
        </w:tc>
        <w:tc>
          <w:tcPr>
            <w:tcW w:w="937" w:type="dxa"/>
          </w:tcPr>
          <w:p w14:paraId="5AB98695"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n/a</w:t>
            </w:r>
          </w:p>
        </w:tc>
        <w:tc>
          <w:tcPr>
            <w:tcW w:w="1310" w:type="dxa"/>
          </w:tcPr>
          <w:p w14:paraId="1A6CD886" w14:textId="76EFE859"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202</w:t>
            </w:r>
            <w:r w:rsidR="00241117">
              <w:t>5</w:t>
            </w:r>
          </w:p>
        </w:tc>
        <w:tc>
          <w:tcPr>
            <w:tcW w:w="994" w:type="dxa"/>
          </w:tcPr>
          <w:p w14:paraId="5CBB50B7"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Feet</w:t>
            </w:r>
          </w:p>
        </w:tc>
        <w:tc>
          <w:tcPr>
            <w:tcW w:w="3053" w:type="dxa"/>
          </w:tcPr>
          <w:p w14:paraId="191453A0"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t>V</w:t>
            </w:r>
            <w:r w:rsidRPr="00150EC2">
              <w:t xml:space="preserve">ertical distance from the water surface to the bottom of a channel </w:t>
            </w:r>
            <w:r>
              <w:t>(c</w:t>
            </w:r>
            <w:r w:rsidRPr="00150EC2">
              <w:t>hannel depths may constrain port capacity, especially at coastal ports that serve the largest vessels</w:t>
            </w:r>
            <w:r>
              <w:t>)</w:t>
            </w:r>
          </w:p>
        </w:tc>
        <w:tc>
          <w:tcPr>
            <w:tcW w:w="1181" w:type="dxa"/>
          </w:tcPr>
          <w:p w14:paraId="3BD8DE1E"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Port Authority public websites</w:t>
            </w:r>
          </w:p>
        </w:tc>
      </w:tr>
      <w:tr w:rsidR="00F418FA" w:rsidRPr="00150EC2" w14:paraId="31030A15" w14:textId="77777777">
        <w:tc>
          <w:tcPr>
            <w:cnfStyle w:val="001000000000" w:firstRow="0" w:lastRow="0" w:firstColumn="1" w:lastColumn="0" w:oddVBand="0" w:evenVBand="0" w:oddHBand="0" w:evenHBand="0" w:firstRowFirstColumn="0" w:firstRowLastColumn="0" w:lastRowFirstColumn="0" w:lastRowLastColumn="0"/>
            <w:tcW w:w="1973" w:type="dxa"/>
          </w:tcPr>
          <w:p w14:paraId="3DDDB3E7" w14:textId="77777777" w:rsidR="00F418FA" w:rsidRPr="00150EC2" w:rsidRDefault="00F418FA">
            <w:pPr>
              <w:pStyle w:val="BTSTableBodyL"/>
            </w:pPr>
            <w:r w:rsidRPr="00150EC2">
              <w:t>Number and type of container cranes</w:t>
            </w:r>
          </w:p>
        </w:tc>
        <w:tc>
          <w:tcPr>
            <w:tcW w:w="937" w:type="dxa"/>
          </w:tcPr>
          <w:p w14:paraId="7D4B7C5B"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n/a</w:t>
            </w:r>
          </w:p>
        </w:tc>
        <w:tc>
          <w:tcPr>
            <w:tcW w:w="1310" w:type="dxa"/>
          </w:tcPr>
          <w:p w14:paraId="53EEAE49" w14:textId="71250D3E"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202</w:t>
            </w:r>
            <w:r w:rsidR="00241117">
              <w:t>5</w:t>
            </w:r>
          </w:p>
        </w:tc>
        <w:tc>
          <w:tcPr>
            <w:tcW w:w="994" w:type="dxa"/>
          </w:tcPr>
          <w:p w14:paraId="06A110D9"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Number of container cranes</w:t>
            </w:r>
          </w:p>
        </w:tc>
        <w:tc>
          <w:tcPr>
            <w:tcW w:w="3053" w:type="dxa"/>
          </w:tcPr>
          <w:p w14:paraId="6C0FFEA4"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 xml:space="preserve">Number of dedicated container cranes capable of serving Panamax, Post-Panamax, and </w:t>
            </w:r>
            <w:r>
              <w:t>SSP</w:t>
            </w:r>
            <w:r w:rsidRPr="00150EC2">
              <w:t xml:space="preserve"> vessels</w:t>
            </w:r>
          </w:p>
        </w:tc>
        <w:tc>
          <w:tcPr>
            <w:tcW w:w="1181" w:type="dxa"/>
          </w:tcPr>
          <w:p w14:paraId="3CA8C10E"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Port Authority public websites</w:t>
            </w:r>
          </w:p>
        </w:tc>
      </w:tr>
      <w:tr w:rsidR="00F418FA" w:rsidRPr="00150EC2" w14:paraId="52B2F94A" w14:textId="77777777">
        <w:tc>
          <w:tcPr>
            <w:cnfStyle w:val="001000000000" w:firstRow="0" w:lastRow="0" w:firstColumn="1" w:lastColumn="0" w:oddVBand="0" w:evenVBand="0" w:oddHBand="0" w:evenHBand="0" w:firstRowFirstColumn="0" w:firstRowLastColumn="0" w:lastRowFirstColumn="0" w:lastRowLastColumn="0"/>
            <w:tcW w:w="1973" w:type="dxa"/>
          </w:tcPr>
          <w:p w14:paraId="5CA692DB" w14:textId="77777777" w:rsidR="00F418FA" w:rsidRPr="00150EC2" w:rsidRDefault="00F418FA">
            <w:pPr>
              <w:pStyle w:val="BTSTableBodyL"/>
            </w:pPr>
            <w:r w:rsidRPr="00150EC2">
              <w:t>Number of terminals with rail transfer facilities</w:t>
            </w:r>
          </w:p>
        </w:tc>
        <w:tc>
          <w:tcPr>
            <w:tcW w:w="937" w:type="dxa"/>
          </w:tcPr>
          <w:p w14:paraId="7D5CC37B"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n/a</w:t>
            </w:r>
          </w:p>
        </w:tc>
        <w:tc>
          <w:tcPr>
            <w:tcW w:w="1310" w:type="dxa"/>
          </w:tcPr>
          <w:p w14:paraId="6AC44369" w14:textId="20C0786E"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202</w:t>
            </w:r>
            <w:r w:rsidR="00241117">
              <w:t>5</w:t>
            </w:r>
          </w:p>
        </w:tc>
        <w:tc>
          <w:tcPr>
            <w:tcW w:w="994" w:type="dxa"/>
          </w:tcPr>
          <w:p w14:paraId="065B0B8F"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Number of terminals</w:t>
            </w:r>
          </w:p>
        </w:tc>
        <w:tc>
          <w:tcPr>
            <w:tcW w:w="3053" w:type="dxa"/>
          </w:tcPr>
          <w:p w14:paraId="6DD71C87"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Number of terminals at a port with on-dock rail transfer facilities</w:t>
            </w:r>
          </w:p>
        </w:tc>
        <w:tc>
          <w:tcPr>
            <w:tcW w:w="1181" w:type="dxa"/>
          </w:tcPr>
          <w:p w14:paraId="706E4DFE" w14:textId="77777777" w:rsidR="00F418FA" w:rsidRPr="00150EC2" w:rsidRDefault="00F418FA">
            <w:pPr>
              <w:pStyle w:val="BTSTableBodyL"/>
              <w:cnfStyle w:val="000000000000" w:firstRow="0" w:lastRow="0" w:firstColumn="0" w:lastColumn="0" w:oddVBand="0" w:evenVBand="0" w:oddHBand="0" w:evenHBand="0" w:firstRowFirstColumn="0" w:firstRowLastColumn="0" w:lastRowFirstColumn="0" w:lastRowLastColumn="0"/>
            </w:pPr>
            <w:r w:rsidRPr="00150EC2">
              <w:t>Port Authority public websites</w:t>
            </w:r>
          </w:p>
        </w:tc>
      </w:tr>
    </w:tbl>
    <w:p w14:paraId="37127B01" w14:textId="77777777" w:rsidR="00F418FA" w:rsidRPr="00150EC2" w:rsidRDefault="00F418FA" w:rsidP="00F418FA">
      <w:pPr>
        <w:pStyle w:val="BTSNote"/>
      </w:pPr>
      <w:r>
        <w:t xml:space="preserve">MARAD = Maritime Administration; </w:t>
      </w:r>
      <w:r w:rsidRPr="00150EC2">
        <w:t>n/a = not applicable</w:t>
      </w:r>
      <w:r>
        <w:t>; SSP =</w:t>
      </w:r>
      <w:r w:rsidRPr="00B867CE">
        <w:t xml:space="preserve"> </w:t>
      </w:r>
      <w:r w:rsidRPr="00150EC2">
        <w:t>Super Post-Panamax.</w:t>
      </w:r>
    </w:p>
    <w:p w14:paraId="5B059726" w14:textId="77777777" w:rsidR="00F418FA" w:rsidRPr="00150EC2" w:rsidRDefault="02322D4B" w:rsidP="00F418FA">
      <w:pPr>
        <w:pStyle w:val="BTSHeading1Multi"/>
      </w:pPr>
      <w:bookmarkStart w:id="3" w:name="_Toc187677001"/>
      <w:r>
        <w:t>Containership Capacity</w:t>
      </w:r>
      <w:bookmarkEnd w:id="3"/>
    </w:p>
    <w:p w14:paraId="0455C7D7" w14:textId="1F89B1E0" w:rsidR="0075629C" w:rsidRDefault="00F418FA" w:rsidP="00F418FA">
      <w:pPr>
        <w:pStyle w:val="BTSBodyText"/>
        <w:rPr>
          <w:color w:val="0070C0"/>
        </w:rPr>
      </w:pPr>
      <w:r w:rsidRPr="00150EC2">
        <w:t xml:space="preserve">Containership capacity is measured in TEUs. Containership capacity does not include storage space, chassis availability, or other landside limitations on the maximum TEUs that a port can handle. It does not necessarily equal the TEUs being unloaded or loaded at that port. Containership capacity can represent a supply chain challenge as it is a limiting factor </w:t>
      </w:r>
      <w:r>
        <w:t>for</w:t>
      </w:r>
      <w:r w:rsidRPr="00150EC2">
        <w:t xml:space="preserve"> the number of TEUs a port can import or export via containerships. </w:t>
      </w:r>
      <w:r w:rsidRPr="00E45D1F">
        <w:fldChar w:fldCharType="begin"/>
      </w:r>
      <w:r w:rsidRPr="00E45D1F">
        <w:instrText xml:space="preserve"> REF _Ref187408090 \h  \* MERGEFORMAT </w:instrText>
      </w:r>
      <w:r w:rsidRPr="00E45D1F">
        <w:fldChar w:fldCharType="separate"/>
      </w:r>
      <w:r w:rsidRPr="00E45D1F">
        <w:t>Figure 22</w:t>
      </w:r>
      <w:r w:rsidRPr="00E45D1F">
        <w:fldChar w:fldCharType="end"/>
      </w:r>
      <w:r w:rsidRPr="00E45D1F">
        <w:t xml:space="preserve"> </w:t>
      </w:r>
      <w:r w:rsidR="009F047E" w:rsidRPr="00E45D1F">
        <w:t>illustrates that the monthly containership capacity for all U.S. ports fluctuated in 2025, with February recording the lowest capacity, which was lower than any month in 2024. However, five months in 2025 exceeded January 2024</w:t>
      </w:r>
      <w:r w:rsidR="3D8A524C" w:rsidRPr="00E45D1F">
        <w:t xml:space="preserve">’s </w:t>
      </w:r>
      <w:r w:rsidR="00016A83" w:rsidRPr="00E45D1F">
        <w:t>9</w:t>
      </w:r>
      <w:r w:rsidR="007C6D54" w:rsidRPr="00E45D1F">
        <w:t>.2 million</w:t>
      </w:r>
      <w:r w:rsidR="00360FB5" w:rsidRPr="00E45D1F">
        <w:t xml:space="preserve"> TEUs</w:t>
      </w:r>
      <w:r w:rsidR="009F047E" w:rsidRPr="00E45D1F">
        <w:t xml:space="preserve">, which was the highest capacity month in 2024. </w:t>
      </w:r>
    </w:p>
    <w:p w14:paraId="4355B687" w14:textId="0C47939A" w:rsidR="00F418FA" w:rsidRPr="00333D9F" w:rsidRDefault="00F418FA" w:rsidP="003233CB">
      <w:pPr>
        <w:pStyle w:val="BTSCaption"/>
      </w:pPr>
      <w:bookmarkStart w:id="4" w:name="_Ref187408090"/>
      <w:bookmarkStart w:id="5" w:name="_Hlk210838178"/>
      <w:bookmarkStart w:id="6" w:name="_Toc187677047"/>
      <w:r w:rsidRPr="00150EC2">
        <w:t xml:space="preserve">Figure </w:t>
      </w:r>
      <w:r>
        <w:fldChar w:fldCharType="begin"/>
      </w:r>
      <w:r>
        <w:instrText xml:space="preserve"> SEQ Figure \* ARABIC </w:instrText>
      </w:r>
      <w:r>
        <w:fldChar w:fldCharType="separate"/>
      </w:r>
      <w:r w:rsidRPr="00150EC2">
        <w:rPr>
          <w:noProof/>
        </w:rPr>
        <w:t>22</w:t>
      </w:r>
      <w:r>
        <w:rPr>
          <w:noProof/>
        </w:rPr>
        <w:fldChar w:fldCharType="end"/>
      </w:r>
      <w:bookmarkEnd w:id="4"/>
      <w:r w:rsidRPr="00150EC2">
        <w:t>. Total Monthly Containership Capacity Serving U.S. Ports,</w:t>
      </w:r>
      <w:bookmarkEnd w:id="5"/>
      <w:r w:rsidRPr="00150EC2">
        <w:t xml:space="preserve"> </w:t>
      </w:r>
      <w:r w:rsidRPr="00333D9F">
        <w:t>January 202</w:t>
      </w:r>
      <w:r w:rsidR="009953B1" w:rsidRPr="00333D9F">
        <w:t>5</w:t>
      </w:r>
      <w:r w:rsidRPr="00333D9F">
        <w:t>–</w:t>
      </w:r>
      <w:r w:rsidR="009953B1" w:rsidRPr="00333D9F">
        <w:t>Sept</w:t>
      </w:r>
      <w:r w:rsidRPr="00333D9F">
        <w:t>ember 202</w:t>
      </w:r>
      <w:bookmarkEnd w:id="6"/>
      <w:r w:rsidR="003233CB" w:rsidRPr="00333D9F">
        <w:t>5</w:t>
      </w:r>
    </w:p>
    <w:p w14:paraId="1235BE62" w14:textId="0970CC7A" w:rsidR="007361D6" w:rsidRPr="007361D6" w:rsidRDefault="005B0F3C" w:rsidP="006554C5">
      <w:pPr>
        <w:pStyle w:val="BTSBodyText"/>
        <w:jc w:val="center"/>
      </w:pPr>
      <w:r>
        <w:rPr>
          <w:noProof/>
          <w14:ligatures w14:val="standardContextual"/>
        </w:rPr>
        <w:drawing>
          <wp:inline distT="0" distB="0" distL="0" distR="0" wp14:anchorId="784DE123" wp14:editId="2425F2F9">
            <wp:extent cx="4737100" cy="2859932"/>
            <wp:effectExtent l="0" t="0" r="6350" b="17145"/>
            <wp:docPr id="809293804" name="Chart 1">
              <a:extLst xmlns:a="http://schemas.openxmlformats.org/drawingml/2006/main">
                <a:ext uri="{FF2B5EF4-FFF2-40B4-BE49-F238E27FC236}">
                  <a16:creationId xmlns:a16="http://schemas.microsoft.com/office/drawing/2014/main" id="{6C87EA26-3FF4-0AF6-70BA-CC2F9D9E40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A484251" w14:textId="135298D8" w:rsidR="00F418FA" w:rsidRPr="00150EC2" w:rsidRDefault="00F418FA" w:rsidP="00F418FA">
      <w:pPr>
        <w:pStyle w:val="BTSNote"/>
      </w:pPr>
      <w:r w:rsidRPr="00150EC2">
        <w:t>Source: U.S. Department of Transportation, Maritime Administration, Office of Policy &amp; Plans analysis of data from U.S. Customs &amp; Border Protection, Vessel Entrance and Clearance System, and Lloyd’s Register of Ships (S&amp;P Global), available at</w:t>
      </w:r>
      <w:hyperlink r:id="rId13" w:history="1">
        <w:r w:rsidRPr="00150EC2">
          <w:rPr>
            <w:rStyle w:val="Hyperlink"/>
          </w:rPr>
          <w:t xml:space="preserve"> Latest Supply Chain Indicators (bts.gov)</w:t>
        </w:r>
      </w:hyperlink>
      <w:r w:rsidRPr="00150EC2">
        <w:t xml:space="preserve"> as of </w:t>
      </w:r>
      <w:r w:rsidR="006F209F">
        <w:t>October</w:t>
      </w:r>
      <w:r w:rsidRPr="00150EC2">
        <w:t xml:space="preserve"> 202</w:t>
      </w:r>
      <w:r w:rsidR="006F209F">
        <w:t>5</w:t>
      </w:r>
      <w:r w:rsidRPr="00150EC2">
        <w:t>.</w:t>
      </w:r>
    </w:p>
    <w:p w14:paraId="5124FF22" w14:textId="77777777" w:rsidR="00F418FA" w:rsidRPr="00150EC2" w:rsidRDefault="02322D4B" w:rsidP="00F418FA">
      <w:pPr>
        <w:pStyle w:val="BTSHeading1Multi"/>
      </w:pPr>
      <w:bookmarkStart w:id="7" w:name="_Toc187677002"/>
      <w:r>
        <w:t>Containerships at Anchorage</w:t>
      </w:r>
      <w:bookmarkEnd w:id="7"/>
    </w:p>
    <w:p w14:paraId="135C8FCC" w14:textId="0119D6C4" w:rsidR="00F418FA" w:rsidRPr="00842C51" w:rsidRDefault="00F418FA" w:rsidP="00F418FA">
      <w:pPr>
        <w:pStyle w:val="BTSBodyText"/>
      </w:pPr>
      <w:r w:rsidRPr="00150EC2">
        <w:t>Containerships wait at anchorage for a berth to become available. In 202</w:t>
      </w:r>
      <w:r w:rsidR="005062C6">
        <w:t>5</w:t>
      </w:r>
      <w:r w:rsidRPr="00150EC2">
        <w:t>, East Coast ports had the greatest number of containerships waiting to enter (</w:t>
      </w:r>
      <w:r w:rsidRPr="00F128C4">
        <w:fldChar w:fldCharType="begin"/>
      </w:r>
      <w:r w:rsidRPr="00150EC2">
        <w:instrText xml:space="preserve"> REF _Ref187408325 \h </w:instrText>
      </w:r>
      <w:r>
        <w:instrText xml:space="preserve"> \* MERGEFORMAT </w:instrText>
      </w:r>
      <w:r w:rsidRPr="00F128C4">
        <w:fldChar w:fldCharType="separate"/>
      </w:r>
      <w:r w:rsidRPr="00150EC2">
        <w:t xml:space="preserve">Figure </w:t>
      </w:r>
      <w:r w:rsidRPr="00150EC2">
        <w:rPr>
          <w:noProof/>
        </w:rPr>
        <w:t>23</w:t>
      </w:r>
      <w:r w:rsidRPr="00F128C4">
        <w:fldChar w:fldCharType="end"/>
      </w:r>
      <w:r w:rsidRPr="00150EC2">
        <w:t xml:space="preserve">). </w:t>
      </w:r>
      <w:commentRangeStart w:id="8"/>
      <w:commentRangeStart w:id="9"/>
      <w:r w:rsidR="00FA04E4" w:rsidRPr="00C35DEF">
        <w:rPr>
          <w:color w:val="0070C0"/>
        </w:rPr>
        <w:t xml:space="preserve">A peak was reached in February </w:t>
      </w:r>
      <w:r w:rsidR="00576D3B" w:rsidRPr="00C35DEF">
        <w:rPr>
          <w:color w:val="0070C0"/>
        </w:rPr>
        <w:t>2025, with 30 ships waiting.</w:t>
      </w:r>
      <w:commentRangeEnd w:id="8"/>
      <w:r w:rsidR="005C6365">
        <w:rPr>
          <w:rStyle w:val="CommentReference"/>
        </w:rPr>
        <w:commentReference w:id="8"/>
      </w:r>
      <w:commentRangeEnd w:id="9"/>
      <w:r>
        <w:rPr>
          <w:rStyle w:val="CommentReference"/>
        </w:rPr>
        <w:commentReference w:id="9"/>
      </w:r>
      <w:r w:rsidR="00576D3B" w:rsidRPr="00C35DEF">
        <w:rPr>
          <w:color w:val="0070C0"/>
        </w:rPr>
        <w:t xml:space="preserve"> </w:t>
      </w:r>
      <w:r w:rsidR="00685F71" w:rsidRPr="00842C51">
        <w:t>T</w:t>
      </w:r>
      <w:r w:rsidR="00842C51" w:rsidRPr="00842C51">
        <w:t>his was also the month with the lowest containership capacity.</w:t>
      </w:r>
    </w:p>
    <w:p w14:paraId="54C4EC33" w14:textId="65CAD8A8" w:rsidR="001C53A2" w:rsidRPr="00314ABC" w:rsidRDefault="00F418FA" w:rsidP="00314ABC">
      <w:pPr>
        <w:pStyle w:val="BTSCaption"/>
      </w:pPr>
      <w:bookmarkStart w:id="10" w:name="_Ref187408325"/>
      <w:bookmarkStart w:id="11" w:name="_Toc187677048"/>
      <w:r w:rsidRPr="00150EC2">
        <w:t xml:space="preserve">Figure </w:t>
      </w:r>
      <w:r>
        <w:fldChar w:fldCharType="begin"/>
      </w:r>
      <w:r>
        <w:instrText xml:space="preserve"> SEQ Figure \* ARABIC </w:instrText>
      </w:r>
      <w:r>
        <w:fldChar w:fldCharType="separate"/>
      </w:r>
      <w:r w:rsidRPr="00150EC2">
        <w:rPr>
          <w:noProof/>
        </w:rPr>
        <w:t>23</w:t>
      </w:r>
      <w:r>
        <w:rPr>
          <w:noProof/>
        </w:rPr>
        <w:fldChar w:fldCharType="end"/>
      </w:r>
      <w:bookmarkEnd w:id="10"/>
      <w:r w:rsidRPr="00150EC2">
        <w:t xml:space="preserve">. Weekly Number of Containerships Awaiting to Dock at All U.S. Ports by Coast, </w:t>
      </w:r>
      <w:r w:rsidR="004E41FB" w:rsidRPr="00842C51">
        <w:t>September</w:t>
      </w:r>
      <w:r w:rsidRPr="00842C51">
        <w:t xml:space="preserve"> </w:t>
      </w:r>
      <w:r w:rsidR="004E41FB" w:rsidRPr="00842C51">
        <w:t>24</w:t>
      </w:r>
      <w:r w:rsidRPr="00842C51">
        <w:t>, 202</w:t>
      </w:r>
      <w:r w:rsidR="004E41FB" w:rsidRPr="00842C51">
        <w:t>4</w:t>
      </w:r>
      <w:r w:rsidRPr="00842C51">
        <w:t>–</w:t>
      </w:r>
      <w:r w:rsidR="004E41FB" w:rsidRPr="00842C51">
        <w:t>S</w:t>
      </w:r>
      <w:r w:rsidRPr="00842C51">
        <w:t>e</w:t>
      </w:r>
      <w:r w:rsidR="004E41FB" w:rsidRPr="00842C51">
        <w:t>pt</w:t>
      </w:r>
      <w:r w:rsidRPr="00842C51">
        <w:t>ember 3</w:t>
      </w:r>
      <w:r w:rsidR="004E41FB" w:rsidRPr="00842C51">
        <w:t>0</w:t>
      </w:r>
      <w:r w:rsidRPr="00842C51">
        <w:t>, 202</w:t>
      </w:r>
      <w:bookmarkEnd w:id="11"/>
      <w:r w:rsidR="004E41FB" w:rsidRPr="00842C51">
        <w:t>5</w:t>
      </w:r>
    </w:p>
    <w:p w14:paraId="38A7CC88" w14:textId="1106DE7F" w:rsidR="00811DA5" w:rsidRPr="00811DA5" w:rsidRDefault="007A4098" w:rsidP="00811DA5">
      <w:pPr>
        <w:pStyle w:val="BTSNote"/>
        <w:rPr>
          <w:highlight w:val="green"/>
        </w:rPr>
      </w:pPr>
      <w:r>
        <w:rPr>
          <w:noProof/>
          <w14:ligatures w14:val="standardContextual"/>
        </w:rPr>
        <w:drawing>
          <wp:inline distT="0" distB="0" distL="0" distR="0" wp14:anchorId="4F927278" wp14:editId="3B3505FF">
            <wp:extent cx="5943600" cy="3379470"/>
            <wp:effectExtent l="0" t="0" r="0" b="11430"/>
            <wp:docPr id="649430371" name="Chart 1">
              <a:extLst xmlns:a="http://schemas.openxmlformats.org/drawingml/2006/main">
                <a:ext uri="{FF2B5EF4-FFF2-40B4-BE49-F238E27FC236}">
                  <a16:creationId xmlns:a16="http://schemas.microsoft.com/office/drawing/2014/main" id="{04621564-7A97-49AF-9F52-AC3C100FF3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176DEF5" w14:textId="20DF54B2" w:rsidR="00F418FA" w:rsidRPr="00150EC2" w:rsidRDefault="00F418FA" w:rsidP="00F418FA">
      <w:pPr>
        <w:pStyle w:val="BTSNote"/>
      </w:pPr>
      <w:r w:rsidRPr="00150EC2">
        <w:t xml:space="preserve">Source: U.S. Department of Transportation, Maritime Administration, Office of Policy &amp; Plans analysis of AIS data from S&amp;P Global as of </w:t>
      </w:r>
      <w:r w:rsidR="007A4098" w:rsidRPr="005B3337">
        <w:rPr>
          <w:color w:val="auto"/>
        </w:rPr>
        <w:t>October 2025</w:t>
      </w:r>
      <w:r w:rsidRPr="005B3337">
        <w:rPr>
          <w:color w:val="auto"/>
        </w:rPr>
        <w:t>.</w:t>
      </w:r>
    </w:p>
    <w:p w14:paraId="432D3E1B" w14:textId="77777777" w:rsidR="00F418FA" w:rsidRPr="00150EC2" w:rsidRDefault="02322D4B" w:rsidP="00F418FA">
      <w:pPr>
        <w:pStyle w:val="BTSHeading1Multi"/>
      </w:pPr>
      <w:bookmarkStart w:id="12" w:name="_Toc187677003"/>
      <w:bookmarkStart w:id="13" w:name="_Toc187677004"/>
      <w:bookmarkEnd w:id="12"/>
      <w:r>
        <w:t>Bridge Air Draft Restrictions</w:t>
      </w:r>
      <w:bookmarkEnd w:id="13"/>
    </w:p>
    <w:p w14:paraId="0D53F77F" w14:textId="09795680" w:rsidR="007F4CB4" w:rsidRPr="00906056" w:rsidRDefault="00F418FA" w:rsidP="00F418FA">
      <w:pPr>
        <w:pStyle w:val="BTSBodyText"/>
      </w:pPr>
      <w:r w:rsidRPr="00150EC2">
        <w:t>Vessels may need to transit under bridges to reach terminals at a port. The air draft restrictions for the bridges can limit vessel size and</w:t>
      </w:r>
      <w:r>
        <w:t>,</w:t>
      </w:r>
      <w:r w:rsidRPr="00150EC2">
        <w:t xml:space="preserve"> thus</w:t>
      </w:r>
      <w:r>
        <w:t>,</w:t>
      </w:r>
      <w:r w:rsidRPr="00150EC2">
        <w:t xml:space="preserve"> affect port capacity. To accommodate larger vessels, ports may raise or eliminate bridges.</w:t>
      </w:r>
      <w:r w:rsidR="004A0507">
        <w:t xml:space="preserve"> </w:t>
      </w:r>
      <w:r w:rsidR="007F4CB4" w:rsidRPr="00906056">
        <w:t>Most recently, to accommodate the growing number of cargo ships, the Eugene Talmadge Memorial Bridge, which ships must transit under to access the Port of Savannah,</w:t>
      </w:r>
      <w:r w:rsidR="00736873" w:rsidRPr="00906056">
        <w:t xml:space="preserve"> is </w:t>
      </w:r>
      <w:r w:rsidR="00151A24">
        <w:t>planned to be</w:t>
      </w:r>
      <w:r w:rsidR="00736873" w:rsidRPr="00906056">
        <w:t xml:space="preserve"> </w:t>
      </w:r>
      <w:r w:rsidR="00906056" w:rsidRPr="00906056">
        <w:t>replaced.</w:t>
      </w:r>
      <w:r w:rsidR="007F4CB4" w:rsidRPr="00906056">
        <w:t xml:space="preserve"> </w:t>
      </w:r>
      <w:r w:rsidR="00906056" w:rsidRPr="00906056">
        <w:t>T</w:t>
      </w:r>
      <w:r w:rsidR="007F4CB4" w:rsidRPr="00906056">
        <w:t>he SR 404 Spur/US 17 at Savannah River Crossing Project is considering two proposed solutions: demolishing the current bridge to raise the clearance from 185ft to 205ft or building a tunnel</w:t>
      </w:r>
      <w:r w:rsidR="00A757BB" w:rsidRPr="00906056">
        <w:t> </w:t>
      </w:r>
      <w:sdt>
        <w:sdtPr>
          <w:id w:val="-671253373"/>
          <w:citation/>
        </w:sdtPr>
        <w:sdtEndPr/>
        <w:sdtContent>
          <w:r w:rsidR="00A96121" w:rsidRPr="00906056">
            <w:fldChar w:fldCharType="begin"/>
          </w:r>
          <w:r w:rsidR="00A96121" w:rsidRPr="00906056">
            <w:instrText xml:space="preserve"> CITATION Geo25 \l 1033 </w:instrText>
          </w:r>
          <w:r w:rsidR="00A96121" w:rsidRPr="00906056">
            <w:fldChar w:fldCharType="separate"/>
          </w:r>
          <w:r w:rsidR="00A96121" w:rsidRPr="00906056">
            <w:rPr>
              <w:noProof/>
            </w:rPr>
            <w:t>(Georgia Department of Transportation, 2025)</w:t>
          </w:r>
          <w:r w:rsidR="00A96121" w:rsidRPr="00906056">
            <w:fldChar w:fldCharType="end"/>
          </w:r>
        </w:sdtContent>
      </w:sdt>
      <w:r w:rsidR="00F77435" w:rsidRPr="00906056">
        <w:t xml:space="preserve">. </w:t>
      </w:r>
      <w:r w:rsidR="007F4CB4" w:rsidRPr="00906056">
        <w:t>In Baltimore, the unveiling of the new design for the Francis Scott Key Bridge took place on February 4, 2025. It is currently in the test pile program phase, with an anticipated opening date set for Fall 2028. The new cable-stayed bridge will be 230 ft; the previous vertical clearance was 185 ft</w:t>
      </w:r>
      <w:r w:rsidR="004D7617" w:rsidRPr="00906056">
        <w:t xml:space="preserve"> </w:t>
      </w:r>
      <w:sdt>
        <w:sdtPr>
          <w:id w:val="-838462999"/>
          <w:citation/>
        </w:sdtPr>
        <w:sdtEndPr/>
        <w:sdtContent>
          <w:r w:rsidR="0030041B" w:rsidRPr="00906056">
            <w:fldChar w:fldCharType="begin"/>
          </w:r>
          <w:r w:rsidR="0030041B" w:rsidRPr="00906056">
            <w:instrText xml:space="preserve"> CITATION Mar25 \l 1033 </w:instrText>
          </w:r>
          <w:r w:rsidR="0030041B" w:rsidRPr="00906056">
            <w:fldChar w:fldCharType="separate"/>
          </w:r>
          <w:r w:rsidR="0030041B" w:rsidRPr="00906056">
            <w:rPr>
              <w:noProof/>
            </w:rPr>
            <w:t>(Maryland Transportation Authority, 2025)</w:t>
          </w:r>
          <w:r w:rsidR="0030041B" w:rsidRPr="00906056">
            <w:fldChar w:fldCharType="end"/>
          </w:r>
        </w:sdtContent>
      </w:sdt>
      <w:r w:rsidR="00BE662E" w:rsidRPr="00906056">
        <w:t>.</w:t>
      </w:r>
    </w:p>
    <w:p w14:paraId="57A9E6F6" w14:textId="77777777" w:rsidR="00F418FA" w:rsidRPr="00150EC2" w:rsidRDefault="02322D4B" w:rsidP="00F418FA">
      <w:pPr>
        <w:pStyle w:val="BTSHeading1Multi"/>
      </w:pPr>
      <w:bookmarkStart w:id="14" w:name="_Toc187677005"/>
      <w:r>
        <w:t>Channel Depths</w:t>
      </w:r>
      <w:bookmarkEnd w:id="14"/>
    </w:p>
    <w:p w14:paraId="2C0E4ECC" w14:textId="4C81C5AD" w:rsidR="00F418FA" w:rsidRDefault="00F418FA" w:rsidP="00F418FA">
      <w:pPr>
        <w:pStyle w:val="BTSBodyText"/>
      </w:pPr>
      <w:r w:rsidRPr="00150EC2">
        <w:t>Channel depths can limit the size of vessels able to call at a port and</w:t>
      </w:r>
      <w:r>
        <w:t>,</w:t>
      </w:r>
      <w:r w:rsidRPr="00150EC2">
        <w:t xml:space="preserve"> thus</w:t>
      </w:r>
      <w:r>
        <w:t>,</w:t>
      </w:r>
      <w:r w:rsidRPr="00150EC2">
        <w:t xml:space="preserve"> limit port capacity. </w:t>
      </w:r>
      <w:r w:rsidR="00187CD5">
        <w:t xml:space="preserve">To accommodate larger ships, </w:t>
      </w:r>
      <w:r w:rsidR="00971E1D">
        <w:t>port authorities</w:t>
      </w:r>
      <w:r w:rsidR="004A16BB">
        <w:t>, along with federal assistance,</w:t>
      </w:r>
      <w:r w:rsidR="00971E1D">
        <w:t xml:space="preserve"> </w:t>
      </w:r>
      <w:r w:rsidR="00C91C44">
        <w:t>may dredge the channels to deepen them.  For example, in October 2025, the Ala</w:t>
      </w:r>
      <w:r w:rsidR="003D350A">
        <w:t xml:space="preserve">bama Port Authority completed the Mobile Harbor </w:t>
      </w:r>
      <w:r w:rsidR="00A97FC6">
        <w:t>Modernization</w:t>
      </w:r>
      <w:r w:rsidR="003D350A">
        <w:t xml:space="preserve"> Project</w:t>
      </w:r>
      <w:r w:rsidR="00686D1B">
        <w:t xml:space="preserve">, which deepened the </w:t>
      </w:r>
      <w:r w:rsidR="00363E4F">
        <w:t xml:space="preserve">main </w:t>
      </w:r>
      <w:r w:rsidR="00686D1B">
        <w:t>channel from</w:t>
      </w:r>
      <w:r w:rsidR="008804D9">
        <w:t xml:space="preserve"> 45 feet</w:t>
      </w:r>
      <w:r w:rsidR="00686D1B">
        <w:t xml:space="preserve"> to 50 feet</w:t>
      </w:r>
      <w:r w:rsidR="00432495">
        <w:t xml:space="preserve"> </w:t>
      </w:r>
      <w:sdt>
        <w:sdtPr>
          <w:id w:val="587891833"/>
          <w:citation/>
        </w:sdtPr>
        <w:sdtEndPr/>
        <w:sdtContent>
          <w:r w:rsidR="00432495">
            <w:fldChar w:fldCharType="begin"/>
          </w:r>
          <w:r w:rsidR="00432495">
            <w:instrText xml:space="preserve"> CITATION Ala25 \l 1033 </w:instrText>
          </w:r>
          <w:r w:rsidR="00432495">
            <w:fldChar w:fldCharType="separate"/>
          </w:r>
          <w:r w:rsidR="00432495">
            <w:rPr>
              <w:noProof/>
            </w:rPr>
            <w:t>(Alabama Port Authoirty, 2025)</w:t>
          </w:r>
          <w:r w:rsidR="00432495">
            <w:fldChar w:fldCharType="end"/>
          </w:r>
        </w:sdtContent>
      </w:sdt>
      <w:sdt>
        <w:sdtPr>
          <w:id w:val="-1090306660"/>
          <w:citation/>
        </w:sdtPr>
        <w:sdtEndPr/>
        <w:sdtContent>
          <w:r w:rsidR="00716C09">
            <w:fldChar w:fldCharType="begin"/>
          </w:r>
          <w:r w:rsidR="00716C09">
            <w:instrText xml:space="preserve"> CITATION USA2 \l 1033 </w:instrText>
          </w:r>
          <w:r w:rsidR="00716C09">
            <w:fldChar w:fldCharType="separate"/>
          </w:r>
          <w:r w:rsidR="00716C09">
            <w:rPr>
              <w:noProof/>
            </w:rPr>
            <w:t xml:space="preserve"> (US Army Corps of Engineers, 2025)</w:t>
          </w:r>
          <w:r w:rsidR="00716C09">
            <w:fldChar w:fldCharType="end"/>
          </w:r>
        </w:sdtContent>
      </w:sdt>
      <w:r w:rsidR="00686D1B">
        <w:t>.</w:t>
      </w:r>
      <w:r w:rsidR="00C91C44">
        <w:t xml:space="preserve">  </w:t>
      </w:r>
      <w:r w:rsidR="00971E1D">
        <w:t xml:space="preserve"> </w:t>
      </w:r>
      <w:r w:rsidR="006763EF">
        <w:t xml:space="preserve">For the top 25 TEU ports, </w:t>
      </w:r>
      <w:r w:rsidR="001550B0">
        <w:t xml:space="preserve">the average maintained main channel depth was </w:t>
      </w:r>
      <w:r w:rsidR="008D52BB">
        <w:t>49 feet, the deepest was 78 feet at the Port of Los Angeles, and the least deep was 35 feet at the Port of Alaska (Figure 3).</w:t>
      </w:r>
      <w:r w:rsidR="00E56412">
        <w:t xml:space="preserve">  F</w:t>
      </w:r>
      <w:r w:rsidR="005B3337">
        <w:t>our</w:t>
      </w:r>
      <w:r w:rsidR="00E56412">
        <w:t xml:space="preserve"> of the six deepest ports are on the West Coast.</w:t>
      </w:r>
      <w:r w:rsidRPr="00150EC2">
        <w:t xml:space="preserve"> Even if a port’s minimum channel depth allows for mega-ships, individual marine terminals within the port vicinity may not have the required depth to handle them</w:t>
      </w:r>
      <w:r w:rsidR="003A4E5B">
        <w:t>.</w:t>
      </w:r>
    </w:p>
    <w:p w14:paraId="17BF8CAA" w14:textId="62CD490E" w:rsidR="00151A24" w:rsidRPr="00314ABC" w:rsidRDefault="00151A24" w:rsidP="00151A24">
      <w:pPr>
        <w:pStyle w:val="BTSCaption"/>
      </w:pPr>
      <w:r w:rsidRPr="00150EC2">
        <w:t xml:space="preserve">Figure </w:t>
      </w:r>
      <w:r>
        <w:fldChar w:fldCharType="begin"/>
      </w:r>
      <w:r>
        <w:instrText xml:space="preserve"> SEQ Figure \* ARABIC </w:instrText>
      </w:r>
      <w:r>
        <w:fldChar w:fldCharType="separate"/>
      </w:r>
      <w:r w:rsidR="006D594B">
        <w:rPr>
          <w:noProof/>
        </w:rPr>
        <w:t>3</w:t>
      </w:r>
      <w:r>
        <w:rPr>
          <w:noProof/>
        </w:rPr>
        <w:fldChar w:fldCharType="end"/>
      </w:r>
      <w:r w:rsidRPr="00150EC2">
        <w:t xml:space="preserve">. </w:t>
      </w:r>
      <w:r w:rsidR="00416256">
        <w:t xml:space="preserve">Maintained Main Channel Depth by </w:t>
      </w:r>
      <w:r w:rsidR="00C1497D">
        <w:t xml:space="preserve">Top 25 TEU </w:t>
      </w:r>
      <w:r w:rsidR="00416256">
        <w:t xml:space="preserve">Port, as of </w:t>
      </w:r>
      <w:r w:rsidR="00F103D5">
        <w:t>October</w:t>
      </w:r>
      <w:r w:rsidR="00416256">
        <w:t xml:space="preserve"> 2025</w:t>
      </w:r>
    </w:p>
    <w:p w14:paraId="3CA8C27B" w14:textId="5794324B" w:rsidR="00416256" w:rsidRDefault="00416256" w:rsidP="00416256">
      <w:pPr>
        <w:pStyle w:val="BTSNote"/>
      </w:pPr>
    </w:p>
    <w:p w14:paraId="3AC12F75" w14:textId="591D77E2" w:rsidR="00965D60" w:rsidRDefault="00600904" w:rsidP="00416256">
      <w:pPr>
        <w:pStyle w:val="BTSNote"/>
      </w:pPr>
      <w:r>
        <w:rPr>
          <w:noProof/>
          <w14:ligatures w14:val="standardContextual"/>
        </w:rPr>
        <w:drawing>
          <wp:inline distT="0" distB="0" distL="0" distR="0" wp14:anchorId="5A8CEC93" wp14:editId="12449E66">
            <wp:extent cx="5943600" cy="4859020"/>
            <wp:effectExtent l="0" t="0" r="0" b="17780"/>
            <wp:docPr id="827782765" name="Chart 1">
              <a:extLst xmlns:a="http://schemas.openxmlformats.org/drawingml/2006/main">
                <a:ext uri="{FF2B5EF4-FFF2-40B4-BE49-F238E27FC236}">
                  <a16:creationId xmlns:a16="http://schemas.microsoft.com/office/drawing/2014/main" id="{DF78C25F-35EA-958B-DB03-4DC6B3707E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BA26774" w14:textId="7B1DA148" w:rsidR="00416256" w:rsidRPr="00150EC2" w:rsidRDefault="00416256" w:rsidP="00416256">
      <w:pPr>
        <w:pStyle w:val="BTSNote"/>
      </w:pPr>
      <w:r w:rsidRPr="00150EC2">
        <w:t xml:space="preserve">Source: U.S. </w:t>
      </w:r>
      <w:r w:rsidR="00D52E31">
        <w:t>Army Corps of Engineers</w:t>
      </w:r>
      <w:r w:rsidR="002D3510">
        <w:t xml:space="preserve"> Geospatial</w:t>
      </w:r>
      <w:r w:rsidRPr="00150EC2">
        <w:t xml:space="preserve">, </w:t>
      </w:r>
      <w:r w:rsidR="002D3510">
        <w:t>National Channel Framework</w:t>
      </w:r>
      <w:r w:rsidRPr="00150EC2">
        <w:t xml:space="preserve">, </w:t>
      </w:r>
      <w:proofErr w:type="spellStart"/>
      <w:r w:rsidR="00F103D5">
        <w:t>ChannelReach</w:t>
      </w:r>
      <w:proofErr w:type="spellEnd"/>
      <w:r w:rsidR="00AB72A5">
        <w:t>,</w:t>
      </w:r>
      <w:r w:rsidRPr="00150EC2">
        <w:t xml:space="preserve"> as of </w:t>
      </w:r>
      <w:r w:rsidR="00F103D5" w:rsidRPr="00F103D5">
        <w:rPr>
          <w:color w:val="auto"/>
        </w:rPr>
        <w:t>October 2025</w:t>
      </w:r>
      <w:r w:rsidR="00AB72A5">
        <w:rPr>
          <w:color w:val="auto"/>
        </w:rPr>
        <w:t xml:space="preserve">, accessed at </w:t>
      </w:r>
      <w:r w:rsidR="00086143" w:rsidRPr="00086143">
        <w:rPr>
          <w:color w:val="auto"/>
        </w:rPr>
        <w:t>https://geospatial-usace.opendata.arcgis.com/</w:t>
      </w:r>
      <w:r w:rsidRPr="00F103D5">
        <w:rPr>
          <w:color w:val="auto"/>
        </w:rPr>
        <w:t>.</w:t>
      </w:r>
    </w:p>
    <w:p w14:paraId="09F85AC9" w14:textId="77777777" w:rsidR="00151A24" w:rsidRPr="00150EC2" w:rsidRDefault="00151A24" w:rsidP="00F418FA">
      <w:pPr>
        <w:pStyle w:val="BTSBodyText"/>
      </w:pPr>
    </w:p>
    <w:p w14:paraId="44E0F67E" w14:textId="77777777" w:rsidR="00F418FA" w:rsidRPr="00150EC2" w:rsidRDefault="02322D4B" w:rsidP="00F418FA">
      <w:pPr>
        <w:pStyle w:val="BTSHeading1Multi"/>
      </w:pPr>
      <w:bookmarkStart w:id="15" w:name="_Toc187677006"/>
      <w:r>
        <w:t>Container Cranes</w:t>
      </w:r>
      <w:bookmarkEnd w:id="15"/>
    </w:p>
    <w:p w14:paraId="055D1798" w14:textId="31198360" w:rsidR="00F418FA" w:rsidRPr="00150EC2" w:rsidRDefault="00F418FA" w:rsidP="00F418FA">
      <w:pPr>
        <w:pStyle w:val="BTSBodyText"/>
      </w:pPr>
      <w:r w:rsidRPr="00150EC2">
        <w:t>Container cranes are a critical link between the waterside and landside, including truck and rail connections and container yards used for short-term storage. Cranes move containers to and from the ship and shore. The number and size of cranes affect the number and size of container vessels a terminal can service simultaneously and</w:t>
      </w:r>
      <w:r>
        <w:t>,</w:t>
      </w:r>
      <w:r w:rsidRPr="00150EC2">
        <w:t xml:space="preserve"> thus</w:t>
      </w:r>
      <w:r>
        <w:t>,</w:t>
      </w:r>
      <w:r w:rsidRPr="00150EC2">
        <w:t xml:space="preserve"> is a proxy for port capacity. The top 25 container ports operated </w:t>
      </w:r>
      <w:r w:rsidR="00723D8D" w:rsidRPr="00BD3092">
        <w:t>583</w:t>
      </w:r>
      <w:r w:rsidRPr="00150EC2">
        <w:t xml:space="preserve"> ship-to-shore gantry cranes in </w:t>
      </w:r>
      <w:r w:rsidR="00BD3092">
        <w:t>2025</w:t>
      </w:r>
      <w:r w:rsidRPr="00150EC2">
        <w:t xml:space="preserve">. As shown in </w:t>
      </w:r>
      <w:r w:rsidRPr="00F128C4">
        <w:fldChar w:fldCharType="begin"/>
      </w:r>
      <w:r w:rsidRPr="00150EC2">
        <w:instrText xml:space="preserve"> REF _Ref187408831 \h </w:instrText>
      </w:r>
      <w:r>
        <w:instrText xml:space="preserve"> \* MERGEFORMAT </w:instrText>
      </w:r>
      <w:r w:rsidRPr="00F128C4">
        <w:fldChar w:fldCharType="separate"/>
      </w:r>
      <w:r w:rsidRPr="00150EC2">
        <w:t xml:space="preserve">Table </w:t>
      </w:r>
      <w:r w:rsidRPr="00150EC2">
        <w:rPr>
          <w:noProof/>
        </w:rPr>
        <w:t>7</w:t>
      </w:r>
      <w:r w:rsidRPr="00F128C4">
        <w:fldChar w:fldCharType="end"/>
      </w:r>
      <w:r w:rsidRPr="00150EC2">
        <w:t xml:space="preserve">, the number of cranes by port varies widely. Of ship-to-shore gantry cranes, </w:t>
      </w:r>
      <w:r w:rsidRPr="004E7029">
        <w:t>2</w:t>
      </w:r>
      <w:r w:rsidR="00723D8D" w:rsidRPr="004E7029">
        <w:t>6</w:t>
      </w:r>
      <w:r w:rsidRPr="004E7029">
        <w:t>8</w:t>
      </w:r>
      <w:r w:rsidRPr="00144F52">
        <w:rPr>
          <w:color w:val="FF0000"/>
        </w:rPr>
        <w:t xml:space="preserve"> </w:t>
      </w:r>
      <w:r w:rsidRPr="00150EC2">
        <w:t>are classified as super post-Panamax</w:t>
      </w:r>
      <w:r>
        <w:t xml:space="preserve"> (SSP)</w:t>
      </w:r>
      <w:r w:rsidRPr="00150EC2">
        <w:t>, which are the most capable. Other marine terminals at ports may use mobile harbor cranes, or container vessels may be equipped with ship gear to unload</w:t>
      </w:r>
      <w:r>
        <w:t xml:space="preserve"> or </w:t>
      </w:r>
      <w:r w:rsidRPr="00150EC2">
        <w:t>load cargo or transport containers onto trailers.</w:t>
      </w:r>
      <w:r w:rsidRPr="00150EC2">
        <w:rPr>
          <w:rStyle w:val="FootnoteReference"/>
        </w:rPr>
        <w:footnoteReference w:id="2"/>
      </w:r>
      <w:r w:rsidRPr="00150EC2">
        <w:t xml:space="preserve"> </w:t>
      </w:r>
    </w:p>
    <w:p w14:paraId="5F5ED132" w14:textId="5FF84CC2" w:rsidR="00F418FA" w:rsidRPr="00150EC2" w:rsidRDefault="00F418FA" w:rsidP="00F418FA">
      <w:pPr>
        <w:pStyle w:val="BTSCaption"/>
      </w:pPr>
      <w:bookmarkStart w:id="16" w:name="_Ref187408831"/>
      <w:bookmarkStart w:id="17" w:name="_Toc187677086"/>
      <w:r w:rsidRPr="00150EC2">
        <w:t xml:space="preserve">Table </w:t>
      </w:r>
      <w:r>
        <w:fldChar w:fldCharType="begin"/>
      </w:r>
      <w:r>
        <w:instrText xml:space="preserve"> SEQ Table \* ARABIC </w:instrText>
      </w:r>
      <w:r>
        <w:fldChar w:fldCharType="separate"/>
      </w:r>
      <w:r w:rsidRPr="00150EC2">
        <w:rPr>
          <w:noProof/>
        </w:rPr>
        <w:t>7</w:t>
      </w:r>
      <w:r>
        <w:rPr>
          <w:noProof/>
        </w:rPr>
        <w:fldChar w:fldCharType="end"/>
      </w:r>
      <w:bookmarkEnd w:id="16"/>
      <w:r w:rsidRPr="00150EC2">
        <w:t xml:space="preserve">. Number of Container Cranes by Top 25 </w:t>
      </w:r>
      <w:r>
        <w:t xml:space="preserve">Container </w:t>
      </w:r>
      <w:r w:rsidRPr="00150EC2">
        <w:t>Port, as of 202</w:t>
      </w:r>
      <w:bookmarkEnd w:id="17"/>
      <w:r w:rsidR="00FD64AB">
        <w:t>5</w:t>
      </w:r>
    </w:p>
    <w:tbl>
      <w:tblPr>
        <w:tblStyle w:val="BTSTextualTable"/>
        <w:tblW w:w="5000" w:type="pct"/>
        <w:tblLayout w:type="fixed"/>
        <w:tblLook w:val="04A0" w:firstRow="1" w:lastRow="0" w:firstColumn="1" w:lastColumn="0" w:noHBand="0" w:noVBand="1"/>
      </w:tblPr>
      <w:tblGrid>
        <w:gridCol w:w="3643"/>
        <w:gridCol w:w="2836"/>
        <w:gridCol w:w="1891"/>
        <w:gridCol w:w="990"/>
      </w:tblGrid>
      <w:tr w:rsidR="00C276EE" w:rsidRPr="00150EC2" w14:paraId="461AD47B" w14:textId="77777777" w:rsidTr="004D356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46" w:type="pct"/>
          </w:tcPr>
          <w:p w14:paraId="538C6718" w14:textId="1FA1A6DB" w:rsidR="00C276EE" w:rsidRPr="00723D8D" w:rsidRDefault="00C276EE" w:rsidP="00C276EE">
            <w:pPr>
              <w:pStyle w:val="BTSTableHeader"/>
            </w:pPr>
            <w:r w:rsidRPr="00723D8D">
              <w:rPr>
                <w:rFonts w:ascii="Calibri" w:hAnsi="Calibri" w:cs="Calibri"/>
                <w:sz w:val="22"/>
                <w:szCs w:val="22"/>
              </w:rPr>
              <w:t>Port Name</w:t>
            </w:r>
          </w:p>
        </w:tc>
        <w:tc>
          <w:tcPr>
            <w:tcW w:w="1515" w:type="pct"/>
          </w:tcPr>
          <w:p w14:paraId="4C5BEE31" w14:textId="4663F432" w:rsidR="00C276EE" w:rsidRPr="00723D8D" w:rsidRDefault="00C276EE" w:rsidP="00C276EE">
            <w:pPr>
              <w:pStyle w:val="BTSTableHeader"/>
              <w:cnfStyle w:val="100000000000" w:firstRow="1" w:lastRow="0" w:firstColumn="0" w:lastColumn="0" w:oddVBand="0" w:evenVBand="0" w:oddHBand="0" w:evenHBand="0" w:firstRowFirstColumn="0" w:firstRowLastColumn="0" w:lastRowFirstColumn="0" w:lastRowLastColumn="0"/>
            </w:pPr>
            <w:r w:rsidRPr="00723D8D">
              <w:rPr>
                <w:rFonts w:ascii="Calibri" w:hAnsi="Calibri" w:cs="Calibri"/>
                <w:sz w:val="22"/>
                <w:szCs w:val="22"/>
              </w:rPr>
              <w:t>Number of super post-Panamax (SPPX) ship-to-shore cranes</w:t>
            </w:r>
          </w:p>
        </w:tc>
        <w:tc>
          <w:tcPr>
            <w:tcW w:w="1010" w:type="pct"/>
          </w:tcPr>
          <w:p w14:paraId="7DCDABE8" w14:textId="13BD716A" w:rsidR="00C276EE" w:rsidRPr="00723D8D" w:rsidRDefault="00C276EE" w:rsidP="00C276EE">
            <w:pPr>
              <w:pStyle w:val="BTSTableHeader"/>
              <w:cnfStyle w:val="100000000000" w:firstRow="1" w:lastRow="0" w:firstColumn="0" w:lastColumn="0" w:oddVBand="0" w:evenVBand="0" w:oddHBand="0" w:evenHBand="0" w:firstRowFirstColumn="0" w:firstRowLastColumn="0" w:lastRowFirstColumn="0" w:lastRowLastColumn="0"/>
            </w:pPr>
            <w:r w:rsidRPr="00723D8D">
              <w:rPr>
                <w:rFonts w:ascii="Calibri" w:hAnsi="Calibri" w:cs="Calibri"/>
                <w:sz w:val="22"/>
                <w:szCs w:val="22"/>
              </w:rPr>
              <w:t>Number of other ship-to-shore cranes</w:t>
            </w:r>
          </w:p>
        </w:tc>
        <w:tc>
          <w:tcPr>
            <w:tcW w:w="529" w:type="pct"/>
          </w:tcPr>
          <w:p w14:paraId="5648E8E1" w14:textId="60DA0CD1" w:rsidR="00C276EE" w:rsidRPr="00723D8D" w:rsidRDefault="00C276EE" w:rsidP="00C276EE">
            <w:pPr>
              <w:pStyle w:val="BTSTableHeader"/>
              <w:cnfStyle w:val="100000000000" w:firstRow="1" w:lastRow="0" w:firstColumn="0" w:lastColumn="0" w:oddVBand="0" w:evenVBand="0" w:oddHBand="0" w:evenHBand="0" w:firstRowFirstColumn="0" w:firstRowLastColumn="0" w:lastRowFirstColumn="0" w:lastRowLastColumn="0"/>
            </w:pPr>
            <w:r w:rsidRPr="00723D8D">
              <w:rPr>
                <w:rFonts w:ascii="Calibri" w:hAnsi="Calibri" w:cs="Calibri"/>
                <w:sz w:val="22"/>
                <w:szCs w:val="22"/>
              </w:rPr>
              <w:t>Total</w:t>
            </w:r>
          </w:p>
        </w:tc>
      </w:tr>
      <w:tr w:rsidR="004D3560" w:rsidRPr="004D3560" w14:paraId="4C666517"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46D46DA4"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Baltimore, MD</w:t>
            </w:r>
          </w:p>
        </w:tc>
        <w:tc>
          <w:tcPr>
            <w:tcW w:w="1515" w:type="pct"/>
            <w:noWrap/>
            <w:hideMark/>
          </w:tcPr>
          <w:p w14:paraId="5E7F0105"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8</w:t>
            </w:r>
          </w:p>
        </w:tc>
        <w:tc>
          <w:tcPr>
            <w:tcW w:w="1010" w:type="pct"/>
            <w:noWrap/>
            <w:hideMark/>
          </w:tcPr>
          <w:p w14:paraId="495711DB"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8</w:t>
            </w:r>
          </w:p>
        </w:tc>
        <w:tc>
          <w:tcPr>
            <w:tcW w:w="529" w:type="pct"/>
            <w:noWrap/>
            <w:hideMark/>
          </w:tcPr>
          <w:p w14:paraId="2C54CDC2"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16</w:t>
            </w:r>
          </w:p>
        </w:tc>
      </w:tr>
      <w:tr w:rsidR="004D3560" w:rsidRPr="004D3560" w14:paraId="5F6A7446"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0F41067D"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Boston, MA</w:t>
            </w:r>
          </w:p>
        </w:tc>
        <w:tc>
          <w:tcPr>
            <w:tcW w:w="1515" w:type="pct"/>
            <w:noWrap/>
            <w:hideMark/>
          </w:tcPr>
          <w:p w14:paraId="4CA2A8CD"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w:t>
            </w:r>
          </w:p>
        </w:tc>
        <w:tc>
          <w:tcPr>
            <w:tcW w:w="1010" w:type="pct"/>
            <w:noWrap/>
            <w:hideMark/>
          </w:tcPr>
          <w:p w14:paraId="17328D94"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4</w:t>
            </w:r>
          </w:p>
        </w:tc>
        <w:tc>
          <w:tcPr>
            <w:tcW w:w="529" w:type="pct"/>
            <w:noWrap/>
            <w:hideMark/>
          </w:tcPr>
          <w:p w14:paraId="096E16B9"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7</w:t>
            </w:r>
          </w:p>
        </w:tc>
      </w:tr>
      <w:tr w:rsidR="004D3560" w:rsidRPr="004D3560" w14:paraId="7E4CB10A"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11FB7CB2"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 xml:space="preserve">Honolulu, </w:t>
            </w:r>
            <w:proofErr w:type="spellStart"/>
            <w:r w:rsidRPr="004D3560">
              <w:rPr>
                <w:rFonts w:ascii="Calibri" w:eastAsia="Times New Roman" w:hAnsi="Calibri" w:cs="Calibri"/>
                <w:color w:val="000000"/>
              </w:rPr>
              <w:t>O'ahu</w:t>
            </w:r>
            <w:proofErr w:type="spellEnd"/>
            <w:r w:rsidRPr="004D3560">
              <w:rPr>
                <w:rFonts w:ascii="Calibri" w:eastAsia="Times New Roman" w:hAnsi="Calibri" w:cs="Calibri"/>
                <w:color w:val="000000"/>
              </w:rPr>
              <w:t>, HI</w:t>
            </w:r>
          </w:p>
        </w:tc>
        <w:tc>
          <w:tcPr>
            <w:tcW w:w="1515" w:type="pct"/>
            <w:noWrap/>
            <w:hideMark/>
          </w:tcPr>
          <w:p w14:paraId="77EB7547"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0</w:t>
            </w:r>
          </w:p>
        </w:tc>
        <w:tc>
          <w:tcPr>
            <w:tcW w:w="1010" w:type="pct"/>
            <w:noWrap/>
            <w:hideMark/>
          </w:tcPr>
          <w:p w14:paraId="1EFF22F9"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w:t>
            </w:r>
          </w:p>
        </w:tc>
        <w:tc>
          <w:tcPr>
            <w:tcW w:w="529" w:type="pct"/>
            <w:noWrap/>
            <w:hideMark/>
          </w:tcPr>
          <w:p w14:paraId="3CED7FCD"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w:t>
            </w:r>
          </w:p>
        </w:tc>
      </w:tr>
      <w:tr w:rsidR="004D3560" w:rsidRPr="004D3560" w14:paraId="106DFA9B"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5F30B71B"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Houston Port Authority, TX</w:t>
            </w:r>
          </w:p>
        </w:tc>
        <w:tc>
          <w:tcPr>
            <w:tcW w:w="1515" w:type="pct"/>
            <w:noWrap/>
            <w:hideMark/>
          </w:tcPr>
          <w:p w14:paraId="6AED64FE"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27</w:t>
            </w:r>
          </w:p>
        </w:tc>
        <w:tc>
          <w:tcPr>
            <w:tcW w:w="1010" w:type="pct"/>
            <w:noWrap/>
            <w:hideMark/>
          </w:tcPr>
          <w:p w14:paraId="30484A7A"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10</w:t>
            </w:r>
          </w:p>
        </w:tc>
        <w:tc>
          <w:tcPr>
            <w:tcW w:w="529" w:type="pct"/>
            <w:noWrap/>
            <w:hideMark/>
          </w:tcPr>
          <w:p w14:paraId="605DFADE"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37</w:t>
            </w:r>
          </w:p>
        </w:tc>
      </w:tr>
      <w:tr w:rsidR="004D3560" w:rsidRPr="004D3560" w14:paraId="2FA58CF8"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6633CB9F"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Jacksonville, FL</w:t>
            </w:r>
          </w:p>
        </w:tc>
        <w:tc>
          <w:tcPr>
            <w:tcW w:w="1515" w:type="pct"/>
            <w:noWrap/>
            <w:hideMark/>
          </w:tcPr>
          <w:p w14:paraId="6C177F41"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8</w:t>
            </w:r>
          </w:p>
        </w:tc>
        <w:tc>
          <w:tcPr>
            <w:tcW w:w="1010" w:type="pct"/>
            <w:noWrap/>
            <w:hideMark/>
          </w:tcPr>
          <w:p w14:paraId="5C79E16A"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16</w:t>
            </w:r>
          </w:p>
        </w:tc>
        <w:tc>
          <w:tcPr>
            <w:tcW w:w="529" w:type="pct"/>
            <w:noWrap/>
            <w:hideMark/>
          </w:tcPr>
          <w:p w14:paraId="4AC982A3"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24</w:t>
            </w:r>
          </w:p>
        </w:tc>
      </w:tr>
      <w:tr w:rsidR="004D3560" w:rsidRPr="004D3560" w14:paraId="416524F6"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7D1DD331"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Mobile, AL</w:t>
            </w:r>
          </w:p>
        </w:tc>
        <w:tc>
          <w:tcPr>
            <w:tcW w:w="1515" w:type="pct"/>
            <w:noWrap/>
            <w:hideMark/>
          </w:tcPr>
          <w:p w14:paraId="7C3BFB7A"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6</w:t>
            </w:r>
          </w:p>
        </w:tc>
        <w:tc>
          <w:tcPr>
            <w:tcW w:w="1010" w:type="pct"/>
            <w:noWrap/>
            <w:hideMark/>
          </w:tcPr>
          <w:p w14:paraId="242B811E"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0</w:t>
            </w:r>
          </w:p>
        </w:tc>
        <w:tc>
          <w:tcPr>
            <w:tcW w:w="529" w:type="pct"/>
            <w:noWrap/>
            <w:hideMark/>
          </w:tcPr>
          <w:p w14:paraId="340510E0"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6</w:t>
            </w:r>
          </w:p>
        </w:tc>
      </w:tr>
      <w:tr w:rsidR="004D3560" w:rsidRPr="004D3560" w14:paraId="774E8BB5"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6047C50F"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New Orleans, LA</w:t>
            </w:r>
          </w:p>
        </w:tc>
        <w:tc>
          <w:tcPr>
            <w:tcW w:w="1515" w:type="pct"/>
            <w:noWrap/>
            <w:hideMark/>
          </w:tcPr>
          <w:p w14:paraId="3C5FCC88"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4</w:t>
            </w:r>
          </w:p>
        </w:tc>
        <w:tc>
          <w:tcPr>
            <w:tcW w:w="1010" w:type="pct"/>
            <w:noWrap/>
            <w:hideMark/>
          </w:tcPr>
          <w:p w14:paraId="42364F74"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5</w:t>
            </w:r>
          </w:p>
        </w:tc>
        <w:tc>
          <w:tcPr>
            <w:tcW w:w="529" w:type="pct"/>
            <w:noWrap/>
            <w:hideMark/>
          </w:tcPr>
          <w:p w14:paraId="3892EB02"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9</w:t>
            </w:r>
          </w:p>
        </w:tc>
      </w:tr>
      <w:tr w:rsidR="004D3560" w:rsidRPr="004D3560" w14:paraId="457386A5"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1B5292BF"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New York, NY &amp; NJ</w:t>
            </w:r>
          </w:p>
        </w:tc>
        <w:tc>
          <w:tcPr>
            <w:tcW w:w="1515" w:type="pct"/>
            <w:noWrap/>
            <w:hideMark/>
          </w:tcPr>
          <w:p w14:paraId="49D463C1"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26</w:t>
            </w:r>
          </w:p>
        </w:tc>
        <w:tc>
          <w:tcPr>
            <w:tcW w:w="1010" w:type="pct"/>
            <w:noWrap/>
            <w:hideMark/>
          </w:tcPr>
          <w:p w14:paraId="7403D00E"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44</w:t>
            </w:r>
          </w:p>
        </w:tc>
        <w:tc>
          <w:tcPr>
            <w:tcW w:w="529" w:type="pct"/>
            <w:noWrap/>
            <w:hideMark/>
          </w:tcPr>
          <w:p w14:paraId="5151AD55"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70</w:t>
            </w:r>
          </w:p>
        </w:tc>
      </w:tr>
      <w:tr w:rsidR="004D3560" w:rsidRPr="004D3560" w14:paraId="0ED7E59D"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7C014FF0"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Oxnard Harbor District, CA</w:t>
            </w:r>
          </w:p>
        </w:tc>
        <w:tc>
          <w:tcPr>
            <w:tcW w:w="1515" w:type="pct"/>
            <w:noWrap/>
            <w:hideMark/>
          </w:tcPr>
          <w:p w14:paraId="5964AEE2"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0</w:t>
            </w:r>
          </w:p>
        </w:tc>
        <w:tc>
          <w:tcPr>
            <w:tcW w:w="1010" w:type="pct"/>
            <w:noWrap/>
            <w:hideMark/>
          </w:tcPr>
          <w:p w14:paraId="06960852"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5</w:t>
            </w:r>
          </w:p>
        </w:tc>
        <w:tc>
          <w:tcPr>
            <w:tcW w:w="529" w:type="pct"/>
            <w:noWrap/>
            <w:hideMark/>
          </w:tcPr>
          <w:p w14:paraId="44C9DAB3"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5</w:t>
            </w:r>
          </w:p>
        </w:tc>
      </w:tr>
      <w:tr w:rsidR="004D3560" w:rsidRPr="004D3560" w14:paraId="6FB7D61B"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0B9070AF"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Philadelphia Regional Port, PA</w:t>
            </w:r>
          </w:p>
        </w:tc>
        <w:tc>
          <w:tcPr>
            <w:tcW w:w="1515" w:type="pct"/>
            <w:noWrap/>
            <w:hideMark/>
          </w:tcPr>
          <w:p w14:paraId="3F3FA957"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5</w:t>
            </w:r>
          </w:p>
        </w:tc>
        <w:tc>
          <w:tcPr>
            <w:tcW w:w="1010" w:type="pct"/>
            <w:noWrap/>
            <w:hideMark/>
          </w:tcPr>
          <w:p w14:paraId="08503830"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2</w:t>
            </w:r>
          </w:p>
        </w:tc>
        <w:tc>
          <w:tcPr>
            <w:tcW w:w="529" w:type="pct"/>
            <w:noWrap/>
            <w:hideMark/>
          </w:tcPr>
          <w:p w14:paraId="08884B27"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7</w:t>
            </w:r>
          </w:p>
        </w:tc>
      </w:tr>
      <w:tr w:rsidR="004D3560" w:rsidRPr="004D3560" w14:paraId="1B2A728A"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7A9DB9D3"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Port Everglades, FL</w:t>
            </w:r>
          </w:p>
        </w:tc>
        <w:tc>
          <w:tcPr>
            <w:tcW w:w="1515" w:type="pct"/>
            <w:noWrap/>
            <w:hideMark/>
          </w:tcPr>
          <w:p w14:paraId="0FEEC2C6"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6</w:t>
            </w:r>
          </w:p>
        </w:tc>
        <w:tc>
          <w:tcPr>
            <w:tcW w:w="1010" w:type="pct"/>
            <w:noWrap/>
            <w:hideMark/>
          </w:tcPr>
          <w:p w14:paraId="55B2E7CA"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9</w:t>
            </w:r>
          </w:p>
        </w:tc>
        <w:tc>
          <w:tcPr>
            <w:tcW w:w="529" w:type="pct"/>
            <w:noWrap/>
            <w:hideMark/>
          </w:tcPr>
          <w:p w14:paraId="4B73239F"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15</w:t>
            </w:r>
          </w:p>
        </w:tc>
      </w:tr>
      <w:tr w:rsidR="004D3560" w:rsidRPr="004D3560" w14:paraId="3A74CC2C"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4678E190"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Port of Alaska, AK</w:t>
            </w:r>
          </w:p>
        </w:tc>
        <w:tc>
          <w:tcPr>
            <w:tcW w:w="1515" w:type="pct"/>
            <w:noWrap/>
            <w:hideMark/>
          </w:tcPr>
          <w:p w14:paraId="26722B74"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0</w:t>
            </w:r>
          </w:p>
        </w:tc>
        <w:tc>
          <w:tcPr>
            <w:tcW w:w="1010" w:type="pct"/>
            <w:noWrap/>
            <w:hideMark/>
          </w:tcPr>
          <w:p w14:paraId="04F9C854"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w:t>
            </w:r>
          </w:p>
        </w:tc>
        <w:tc>
          <w:tcPr>
            <w:tcW w:w="529" w:type="pct"/>
            <w:noWrap/>
            <w:hideMark/>
          </w:tcPr>
          <w:p w14:paraId="7D86E10E"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w:t>
            </w:r>
          </w:p>
        </w:tc>
      </w:tr>
      <w:tr w:rsidR="004D3560" w:rsidRPr="004D3560" w14:paraId="0B436726"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2DC99804"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Port of Charleston, SC</w:t>
            </w:r>
          </w:p>
        </w:tc>
        <w:tc>
          <w:tcPr>
            <w:tcW w:w="1515" w:type="pct"/>
            <w:noWrap/>
            <w:hideMark/>
          </w:tcPr>
          <w:p w14:paraId="29D997BD"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22</w:t>
            </w:r>
          </w:p>
        </w:tc>
        <w:tc>
          <w:tcPr>
            <w:tcW w:w="1010" w:type="pct"/>
            <w:noWrap/>
            <w:hideMark/>
          </w:tcPr>
          <w:p w14:paraId="1B9EEFAD"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w:t>
            </w:r>
          </w:p>
        </w:tc>
        <w:tc>
          <w:tcPr>
            <w:tcW w:w="529" w:type="pct"/>
            <w:noWrap/>
            <w:hideMark/>
          </w:tcPr>
          <w:p w14:paraId="3B5D744C"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25</w:t>
            </w:r>
          </w:p>
        </w:tc>
      </w:tr>
      <w:tr w:rsidR="004D3560" w:rsidRPr="004D3560" w14:paraId="33D37D5C"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33D8C09F"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Port of Long Beach, CA</w:t>
            </w:r>
          </w:p>
        </w:tc>
        <w:tc>
          <w:tcPr>
            <w:tcW w:w="1515" w:type="pct"/>
            <w:noWrap/>
            <w:hideMark/>
          </w:tcPr>
          <w:p w14:paraId="1D6266DC"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2</w:t>
            </w:r>
          </w:p>
        </w:tc>
        <w:tc>
          <w:tcPr>
            <w:tcW w:w="1010" w:type="pct"/>
            <w:noWrap/>
            <w:hideMark/>
          </w:tcPr>
          <w:p w14:paraId="6310CA41"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73</w:t>
            </w:r>
          </w:p>
        </w:tc>
        <w:tc>
          <w:tcPr>
            <w:tcW w:w="529" w:type="pct"/>
            <w:noWrap/>
            <w:hideMark/>
          </w:tcPr>
          <w:p w14:paraId="162C12A2"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75</w:t>
            </w:r>
          </w:p>
        </w:tc>
      </w:tr>
      <w:tr w:rsidR="004D3560" w:rsidRPr="004D3560" w14:paraId="254FB858"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537D0837"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Port of Los Angeles, CA</w:t>
            </w:r>
          </w:p>
        </w:tc>
        <w:tc>
          <w:tcPr>
            <w:tcW w:w="1515" w:type="pct"/>
            <w:noWrap/>
            <w:hideMark/>
          </w:tcPr>
          <w:p w14:paraId="7EB0FEFE"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19</w:t>
            </w:r>
          </w:p>
        </w:tc>
        <w:tc>
          <w:tcPr>
            <w:tcW w:w="1010" w:type="pct"/>
            <w:noWrap/>
            <w:hideMark/>
          </w:tcPr>
          <w:p w14:paraId="67334E62"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65</w:t>
            </w:r>
          </w:p>
        </w:tc>
        <w:tc>
          <w:tcPr>
            <w:tcW w:w="529" w:type="pct"/>
            <w:noWrap/>
            <w:hideMark/>
          </w:tcPr>
          <w:p w14:paraId="3652E609"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84</w:t>
            </w:r>
          </w:p>
        </w:tc>
      </w:tr>
      <w:tr w:rsidR="004D3560" w:rsidRPr="004D3560" w14:paraId="404DB7E0"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7E5FCFF9"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Port of Oakland, CA</w:t>
            </w:r>
          </w:p>
        </w:tc>
        <w:tc>
          <w:tcPr>
            <w:tcW w:w="1515" w:type="pct"/>
            <w:noWrap/>
            <w:hideMark/>
          </w:tcPr>
          <w:p w14:paraId="3CBA72A7"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16</w:t>
            </w:r>
          </w:p>
        </w:tc>
        <w:tc>
          <w:tcPr>
            <w:tcW w:w="1010" w:type="pct"/>
            <w:noWrap/>
            <w:hideMark/>
          </w:tcPr>
          <w:p w14:paraId="57CD396C"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17</w:t>
            </w:r>
          </w:p>
        </w:tc>
        <w:tc>
          <w:tcPr>
            <w:tcW w:w="529" w:type="pct"/>
            <w:noWrap/>
            <w:hideMark/>
          </w:tcPr>
          <w:p w14:paraId="7720CC62"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33</w:t>
            </w:r>
          </w:p>
        </w:tc>
      </w:tr>
      <w:tr w:rsidR="004D3560" w:rsidRPr="004D3560" w14:paraId="29280930"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0093D1FD"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Port of Savannah, GA</w:t>
            </w:r>
          </w:p>
        </w:tc>
        <w:tc>
          <w:tcPr>
            <w:tcW w:w="1515" w:type="pct"/>
            <w:noWrap/>
            <w:hideMark/>
          </w:tcPr>
          <w:p w14:paraId="41EB8092"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38</w:t>
            </w:r>
          </w:p>
        </w:tc>
        <w:tc>
          <w:tcPr>
            <w:tcW w:w="1010" w:type="pct"/>
            <w:noWrap/>
            <w:hideMark/>
          </w:tcPr>
          <w:p w14:paraId="02B03A95"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0</w:t>
            </w:r>
          </w:p>
        </w:tc>
        <w:tc>
          <w:tcPr>
            <w:tcW w:w="529" w:type="pct"/>
            <w:noWrap/>
            <w:hideMark/>
          </w:tcPr>
          <w:p w14:paraId="3DC42764"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38</w:t>
            </w:r>
          </w:p>
        </w:tc>
      </w:tr>
      <w:tr w:rsidR="004D3560" w:rsidRPr="004D3560" w14:paraId="326152C3"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7FF54974" w14:textId="77777777" w:rsidR="004D3560" w:rsidRPr="004D3560" w:rsidRDefault="004D3560" w:rsidP="004D3560">
            <w:pPr>
              <w:spacing w:line="240" w:lineRule="auto"/>
              <w:rPr>
                <w:rFonts w:ascii="Calibri" w:eastAsia="Times New Roman" w:hAnsi="Calibri" w:cs="Calibri"/>
                <w:color w:val="000000"/>
              </w:rPr>
            </w:pPr>
            <w:proofErr w:type="spellStart"/>
            <w:r w:rsidRPr="004D3560">
              <w:rPr>
                <w:rFonts w:ascii="Calibri" w:eastAsia="Times New Roman" w:hAnsi="Calibri" w:cs="Calibri"/>
                <w:color w:val="000000"/>
              </w:rPr>
              <w:t>PortMiami</w:t>
            </w:r>
            <w:proofErr w:type="spellEnd"/>
            <w:r w:rsidRPr="004D3560">
              <w:rPr>
                <w:rFonts w:ascii="Calibri" w:eastAsia="Times New Roman" w:hAnsi="Calibri" w:cs="Calibri"/>
                <w:color w:val="000000"/>
              </w:rPr>
              <w:t>, FL</w:t>
            </w:r>
          </w:p>
        </w:tc>
        <w:tc>
          <w:tcPr>
            <w:tcW w:w="1515" w:type="pct"/>
            <w:noWrap/>
            <w:hideMark/>
          </w:tcPr>
          <w:p w14:paraId="000FF13D"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6</w:t>
            </w:r>
          </w:p>
        </w:tc>
        <w:tc>
          <w:tcPr>
            <w:tcW w:w="1010" w:type="pct"/>
            <w:noWrap/>
            <w:hideMark/>
          </w:tcPr>
          <w:p w14:paraId="7EA65BA4"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7</w:t>
            </w:r>
          </w:p>
        </w:tc>
        <w:tc>
          <w:tcPr>
            <w:tcW w:w="529" w:type="pct"/>
            <w:noWrap/>
            <w:hideMark/>
          </w:tcPr>
          <w:p w14:paraId="4F16A268"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13</w:t>
            </w:r>
          </w:p>
        </w:tc>
      </w:tr>
      <w:tr w:rsidR="004D3560" w:rsidRPr="004D3560" w14:paraId="5D4BC3CA"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5AB0DAA8"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San Juan, PR</w:t>
            </w:r>
          </w:p>
        </w:tc>
        <w:tc>
          <w:tcPr>
            <w:tcW w:w="1515" w:type="pct"/>
            <w:noWrap/>
            <w:hideMark/>
          </w:tcPr>
          <w:p w14:paraId="4DC13460"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0</w:t>
            </w:r>
          </w:p>
        </w:tc>
        <w:tc>
          <w:tcPr>
            <w:tcW w:w="1010" w:type="pct"/>
            <w:noWrap/>
            <w:hideMark/>
          </w:tcPr>
          <w:p w14:paraId="08031C72"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11</w:t>
            </w:r>
          </w:p>
        </w:tc>
        <w:tc>
          <w:tcPr>
            <w:tcW w:w="529" w:type="pct"/>
            <w:noWrap/>
            <w:hideMark/>
          </w:tcPr>
          <w:p w14:paraId="7A670585"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11</w:t>
            </w:r>
          </w:p>
        </w:tc>
      </w:tr>
      <w:tr w:rsidR="004D3560" w:rsidRPr="004D3560" w14:paraId="6D4CD4CC"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3EA2FB9E"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Seattle, WA</w:t>
            </w:r>
          </w:p>
        </w:tc>
        <w:tc>
          <w:tcPr>
            <w:tcW w:w="1515" w:type="pct"/>
            <w:noWrap/>
            <w:hideMark/>
          </w:tcPr>
          <w:p w14:paraId="0D9BB112"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19</w:t>
            </w:r>
          </w:p>
        </w:tc>
        <w:tc>
          <w:tcPr>
            <w:tcW w:w="1010" w:type="pct"/>
            <w:noWrap/>
            <w:hideMark/>
          </w:tcPr>
          <w:p w14:paraId="28E4BCC2"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w:t>
            </w:r>
          </w:p>
        </w:tc>
        <w:tc>
          <w:tcPr>
            <w:tcW w:w="529" w:type="pct"/>
            <w:noWrap/>
            <w:hideMark/>
          </w:tcPr>
          <w:p w14:paraId="6A2A214F"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22</w:t>
            </w:r>
          </w:p>
        </w:tc>
      </w:tr>
      <w:tr w:rsidR="004D3560" w:rsidRPr="004D3560" w14:paraId="127F8925"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378C950A"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South Jersey Port Corp, NJ</w:t>
            </w:r>
          </w:p>
        </w:tc>
        <w:tc>
          <w:tcPr>
            <w:tcW w:w="1515" w:type="pct"/>
            <w:noWrap/>
            <w:hideMark/>
          </w:tcPr>
          <w:p w14:paraId="273E6F16"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0</w:t>
            </w:r>
          </w:p>
        </w:tc>
        <w:tc>
          <w:tcPr>
            <w:tcW w:w="1010" w:type="pct"/>
            <w:noWrap/>
            <w:hideMark/>
          </w:tcPr>
          <w:p w14:paraId="2138594A"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2</w:t>
            </w:r>
          </w:p>
        </w:tc>
        <w:tc>
          <w:tcPr>
            <w:tcW w:w="529" w:type="pct"/>
            <w:noWrap/>
            <w:hideMark/>
          </w:tcPr>
          <w:p w14:paraId="09C62B80"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2</w:t>
            </w:r>
          </w:p>
        </w:tc>
      </w:tr>
      <w:tr w:rsidR="004D3560" w:rsidRPr="004D3560" w14:paraId="17947141"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41BD1A65"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Tacoma, WA</w:t>
            </w:r>
          </w:p>
        </w:tc>
        <w:tc>
          <w:tcPr>
            <w:tcW w:w="1515" w:type="pct"/>
            <w:noWrap/>
            <w:hideMark/>
          </w:tcPr>
          <w:p w14:paraId="0EAA7940"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19</w:t>
            </w:r>
          </w:p>
        </w:tc>
        <w:tc>
          <w:tcPr>
            <w:tcW w:w="1010" w:type="pct"/>
            <w:noWrap/>
            <w:hideMark/>
          </w:tcPr>
          <w:p w14:paraId="3CFA3696"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16</w:t>
            </w:r>
          </w:p>
        </w:tc>
        <w:tc>
          <w:tcPr>
            <w:tcW w:w="529" w:type="pct"/>
            <w:noWrap/>
            <w:hideMark/>
          </w:tcPr>
          <w:p w14:paraId="660CE405"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35</w:t>
            </w:r>
          </w:p>
        </w:tc>
      </w:tr>
      <w:tr w:rsidR="004D3560" w:rsidRPr="004D3560" w14:paraId="75A9650B"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34C9917F"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Virginia, VA, Port of</w:t>
            </w:r>
          </w:p>
        </w:tc>
        <w:tc>
          <w:tcPr>
            <w:tcW w:w="1515" w:type="pct"/>
            <w:noWrap/>
            <w:hideMark/>
          </w:tcPr>
          <w:p w14:paraId="33DF8888"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31</w:t>
            </w:r>
          </w:p>
        </w:tc>
        <w:tc>
          <w:tcPr>
            <w:tcW w:w="1010" w:type="pct"/>
            <w:noWrap/>
            <w:hideMark/>
          </w:tcPr>
          <w:p w14:paraId="2185A99E"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0</w:t>
            </w:r>
          </w:p>
        </w:tc>
        <w:tc>
          <w:tcPr>
            <w:tcW w:w="529" w:type="pct"/>
            <w:noWrap/>
            <w:hideMark/>
          </w:tcPr>
          <w:p w14:paraId="1FC8CE91"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31</w:t>
            </w:r>
          </w:p>
        </w:tc>
      </w:tr>
      <w:tr w:rsidR="004D3560" w:rsidRPr="004D3560" w14:paraId="6B8E2721"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7E964510"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Wilmington, DE</w:t>
            </w:r>
          </w:p>
        </w:tc>
        <w:tc>
          <w:tcPr>
            <w:tcW w:w="1515" w:type="pct"/>
            <w:noWrap/>
            <w:hideMark/>
          </w:tcPr>
          <w:p w14:paraId="65E47092"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0</w:t>
            </w:r>
          </w:p>
        </w:tc>
        <w:tc>
          <w:tcPr>
            <w:tcW w:w="1010" w:type="pct"/>
            <w:noWrap/>
            <w:hideMark/>
          </w:tcPr>
          <w:p w14:paraId="07BF7153"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5</w:t>
            </w:r>
          </w:p>
        </w:tc>
        <w:tc>
          <w:tcPr>
            <w:tcW w:w="529" w:type="pct"/>
            <w:noWrap/>
            <w:hideMark/>
          </w:tcPr>
          <w:p w14:paraId="566B4049"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5</w:t>
            </w:r>
          </w:p>
        </w:tc>
      </w:tr>
      <w:tr w:rsidR="004D3560" w:rsidRPr="004D3560" w14:paraId="45FC18A8" w14:textId="77777777" w:rsidTr="004D3560">
        <w:trPr>
          <w:trHeight w:val="288"/>
        </w:trPr>
        <w:tc>
          <w:tcPr>
            <w:cnfStyle w:val="001000000000" w:firstRow="0" w:lastRow="0" w:firstColumn="1" w:lastColumn="0" w:oddVBand="0" w:evenVBand="0" w:oddHBand="0" w:evenHBand="0" w:firstRowFirstColumn="0" w:firstRowLastColumn="0" w:lastRowFirstColumn="0" w:lastRowLastColumn="0"/>
            <w:tcW w:w="1946" w:type="pct"/>
            <w:noWrap/>
            <w:hideMark/>
          </w:tcPr>
          <w:p w14:paraId="47800B6F" w14:textId="77777777" w:rsidR="004D3560" w:rsidRPr="004D3560" w:rsidRDefault="004D3560" w:rsidP="004D3560">
            <w:pPr>
              <w:spacing w:line="240" w:lineRule="auto"/>
              <w:rPr>
                <w:rFonts w:ascii="Calibri" w:eastAsia="Times New Roman" w:hAnsi="Calibri" w:cs="Calibri"/>
                <w:color w:val="000000"/>
              </w:rPr>
            </w:pPr>
            <w:r w:rsidRPr="004D3560">
              <w:rPr>
                <w:rFonts w:ascii="Calibri" w:eastAsia="Times New Roman" w:hAnsi="Calibri" w:cs="Calibri"/>
                <w:color w:val="000000"/>
              </w:rPr>
              <w:t>Wilmington, NC</w:t>
            </w:r>
          </w:p>
        </w:tc>
        <w:tc>
          <w:tcPr>
            <w:tcW w:w="1515" w:type="pct"/>
            <w:noWrap/>
            <w:hideMark/>
          </w:tcPr>
          <w:p w14:paraId="16437147"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3</w:t>
            </w:r>
          </w:p>
        </w:tc>
        <w:tc>
          <w:tcPr>
            <w:tcW w:w="1010" w:type="pct"/>
            <w:noWrap/>
            <w:hideMark/>
          </w:tcPr>
          <w:p w14:paraId="345D5D00"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4</w:t>
            </w:r>
          </w:p>
        </w:tc>
        <w:tc>
          <w:tcPr>
            <w:tcW w:w="529" w:type="pct"/>
            <w:noWrap/>
            <w:hideMark/>
          </w:tcPr>
          <w:p w14:paraId="7CC5A948" w14:textId="77777777" w:rsidR="004D3560" w:rsidRPr="004D3560" w:rsidRDefault="004D3560" w:rsidP="004D3560">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D3560">
              <w:rPr>
                <w:rFonts w:ascii="Calibri" w:eastAsia="Times New Roman" w:hAnsi="Calibri" w:cs="Calibri"/>
                <w:color w:val="000000"/>
              </w:rPr>
              <w:t>7</w:t>
            </w:r>
          </w:p>
        </w:tc>
      </w:tr>
    </w:tbl>
    <w:p w14:paraId="21DA87D6" w14:textId="051A7F1C" w:rsidR="00F418FA" w:rsidRPr="004E7029" w:rsidRDefault="00F418FA" w:rsidP="00F418FA">
      <w:pPr>
        <w:pStyle w:val="BTSNote"/>
        <w:rPr>
          <w:color w:val="auto"/>
        </w:rPr>
      </w:pPr>
      <w:r w:rsidRPr="00150EC2">
        <w:t xml:space="preserve">Source: U.S. Department of Transportation, Bureau of Transportation Statistics and Maritime Administration analysis, based upon individual port authority and marine terminal operator websites, including links to terminal-specific websites as </w:t>
      </w:r>
      <w:r w:rsidRPr="004E7029">
        <w:rPr>
          <w:color w:val="auto"/>
        </w:rPr>
        <w:t xml:space="preserve">of </w:t>
      </w:r>
      <w:r w:rsidR="00107E6C" w:rsidRPr="004E7029">
        <w:rPr>
          <w:color w:val="auto"/>
        </w:rPr>
        <w:t>October</w:t>
      </w:r>
      <w:r w:rsidRPr="004E7029">
        <w:rPr>
          <w:color w:val="auto"/>
        </w:rPr>
        <w:t xml:space="preserve"> 202</w:t>
      </w:r>
      <w:r w:rsidR="00107E6C" w:rsidRPr="004E7029">
        <w:rPr>
          <w:color w:val="auto"/>
        </w:rPr>
        <w:t>5</w:t>
      </w:r>
      <w:r w:rsidRPr="004E7029">
        <w:rPr>
          <w:color w:val="auto"/>
        </w:rPr>
        <w:t xml:space="preserve">. Additionally, data were verified via interviews and correspondence with key port staff in </w:t>
      </w:r>
      <w:r w:rsidR="00107E6C" w:rsidRPr="004E7029">
        <w:rPr>
          <w:color w:val="auto"/>
        </w:rPr>
        <w:t>October 2025</w:t>
      </w:r>
      <w:r w:rsidRPr="004E7029">
        <w:rPr>
          <w:color w:val="auto"/>
        </w:rPr>
        <w:t>.</w:t>
      </w:r>
    </w:p>
    <w:p w14:paraId="5799EFFD" w14:textId="77777777" w:rsidR="00F418FA" w:rsidRPr="00150EC2" w:rsidRDefault="00F418FA" w:rsidP="00F418FA">
      <w:pPr>
        <w:pStyle w:val="BTSNote"/>
      </w:pPr>
      <w:r w:rsidRPr="00150EC2">
        <w:t xml:space="preserve">Note: Based upon active marine terminals handling containerships at each container port. A container crane is defined as a ship-to-shore crane mounted on a gantry </w:t>
      </w:r>
      <w:r>
        <w:t>(</w:t>
      </w:r>
      <w:r w:rsidRPr="00150EC2">
        <w:t>a frame or structure spanning an intervening space, most often a workspace used to stack intermodal shipping containers on truck chassis and mounted on road or rail wheels</w:t>
      </w:r>
      <w:r>
        <w:t>)</w:t>
      </w:r>
      <w:r w:rsidRPr="00150EC2">
        <w:t xml:space="preserve">. SPP </w:t>
      </w:r>
      <w:r>
        <w:t>is</w:t>
      </w:r>
      <w:r w:rsidRPr="00150EC2">
        <w:t xml:space="preserve"> a class of cranes that can fully unload intermodal shipping containers from the largest containerships, approximately </w:t>
      </w:r>
      <w:r>
        <w:t>16</w:t>
      </w:r>
      <w:r w:rsidRPr="00150EC2">
        <w:t xml:space="preserve"> containers or greater in width. Other cranes include lesser cranes.</w:t>
      </w:r>
    </w:p>
    <w:p w14:paraId="47988F2E" w14:textId="77777777" w:rsidR="00F418FA" w:rsidRPr="00150EC2" w:rsidRDefault="02322D4B" w:rsidP="00F418FA">
      <w:pPr>
        <w:pStyle w:val="BTSHeading1Multi"/>
      </w:pPr>
      <w:bookmarkStart w:id="18" w:name="_Toc187677007"/>
      <w:r>
        <w:t>Rail Transfer Facilities</w:t>
      </w:r>
      <w:bookmarkEnd w:id="18"/>
    </w:p>
    <w:p w14:paraId="42B9C27C" w14:textId="224EEF27" w:rsidR="00F418FA" w:rsidRPr="00150EC2" w:rsidRDefault="00F418FA" w:rsidP="00F418FA">
      <w:pPr>
        <w:pStyle w:val="BTSBodyText"/>
      </w:pPr>
      <w:r w:rsidRPr="00150EC2">
        <w:t>Nearly all major U.S. ports have National Highway System (NHS) connectors,</w:t>
      </w:r>
      <w:r w:rsidRPr="00150EC2">
        <w:rPr>
          <w:rStyle w:val="FootnoteReference"/>
        </w:rPr>
        <w:footnoteReference w:id="3"/>
      </w:r>
      <w:r w:rsidRPr="00150EC2">
        <w:t xml:space="preserve"> the public roads that lead to major marine terminals, as well as on-dock or nearby intermodal container transfer facility (ICTF) rail connections. Both these road connecters and rail connections affect capacity as they enable cargo to be moved to and away from the port. Ports are served </w:t>
      </w:r>
      <w:r w:rsidRPr="00E242F4">
        <w:t>by 3</w:t>
      </w:r>
      <w:r w:rsidR="00CD3027" w:rsidRPr="00E242F4">
        <w:t>19</w:t>
      </w:r>
      <w:r w:rsidRPr="00E242F4">
        <w:t xml:space="preserve"> NHS connectors that range in length from a few hundred yards to 27 mi in the case of Port </w:t>
      </w:r>
      <w:r w:rsidR="007C626A" w:rsidRPr="00E242F4">
        <w:t>Nikiski</w:t>
      </w:r>
      <w:r w:rsidRPr="00E242F4">
        <w:t xml:space="preserve">—Kenai in Alaska </w:t>
      </w:r>
      <w:r w:rsidR="000D4178" w:rsidRPr="00E242F4">
        <w:t>(</w:t>
      </w:r>
      <w:sdt>
        <w:sdtPr>
          <w:id w:val="-1947379029"/>
          <w:citation/>
        </w:sdtPr>
        <w:sdtEndPr/>
        <w:sdtContent>
          <w:r w:rsidR="00EB4A77" w:rsidRPr="00E242F4">
            <w:fldChar w:fldCharType="begin"/>
          </w:r>
          <w:r w:rsidR="0025637A" w:rsidRPr="00E242F4">
            <w:instrText xml:space="preserve">CITATION USD24 \l 1033 </w:instrText>
          </w:r>
          <w:r w:rsidR="00EB4A77" w:rsidRPr="00E242F4">
            <w:fldChar w:fldCharType="separate"/>
          </w:r>
          <w:r w:rsidR="0025637A" w:rsidRPr="00E242F4">
            <w:rPr>
              <w:noProof/>
            </w:rPr>
            <w:t>U.S. Department of Transportation, Federal Highway Administration, 2024)</w:t>
          </w:r>
          <w:r w:rsidR="00EB4A77" w:rsidRPr="00E242F4">
            <w:fldChar w:fldCharType="end"/>
          </w:r>
        </w:sdtContent>
      </w:sdt>
      <w:r w:rsidR="00AF4CB2" w:rsidRPr="00E242F4">
        <w:t xml:space="preserve">. </w:t>
      </w:r>
      <w:r w:rsidRPr="00E242F4">
        <w:t xml:space="preserve">Of the top 25 container ports, </w:t>
      </w:r>
      <w:r w:rsidR="00312309" w:rsidRPr="00E242F4">
        <w:t xml:space="preserve">16 </w:t>
      </w:r>
      <w:r w:rsidRPr="00E242F4">
        <w:t xml:space="preserve">have on-dock rail. On-dock rail eliminates the need for drayage trucks to ferry shipping containers to and from the marine terminal and ICTFs, which in </w:t>
      </w:r>
      <w:r w:rsidRPr="00150EC2">
        <w:t>turn</w:t>
      </w:r>
      <w:r>
        <w:t>,</w:t>
      </w:r>
      <w:r w:rsidRPr="00150EC2">
        <w:t xml:space="preserve"> reduces port congestion and improves efficiency. Other container terminals are located near off-dock facilities. As shown in </w:t>
      </w:r>
      <w:r w:rsidRPr="00F128C4">
        <w:fldChar w:fldCharType="begin"/>
      </w:r>
      <w:r w:rsidRPr="00150EC2">
        <w:instrText xml:space="preserve"> REF _Ref187409544 \h </w:instrText>
      </w:r>
      <w:r>
        <w:instrText xml:space="preserve"> \* MERGEFORMAT </w:instrText>
      </w:r>
      <w:r w:rsidRPr="00F128C4">
        <w:fldChar w:fldCharType="separate"/>
      </w:r>
      <w:r w:rsidRPr="00150EC2">
        <w:t xml:space="preserve">Table </w:t>
      </w:r>
      <w:r w:rsidRPr="00150EC2">
        <w:rPr>
          <w:noProof/>
        </w:rPr>
        <w:t>8</w:t>
      </w:r>
      <w:r w:rsidRPr="00F128C4">
        <w:fldChar w:fldCharType="end"/>
      </w:r>
      <w:r w:rsidRPr="00150EC2">
        <w:t>, the number of marine terminals handling containerships with on-dock rail by port varies widely.</w:t>
      </w:r>
    </w:p>
    <w:p w14:paraId="6B66E2AA" w14:textId="287B7BF1" w:rsidR="00F418FA" w:rsidRPr="00805A7E" w:rsidRDefault="00F418FA" w:rsidP="00F418FA">
      <w:pPr>
        <w:pStyle w:val="BTSCaption"/>
        <w:rPr>
          <w:color w:val="0070C0"/>
        </w:rPr>
      </w:pPr>
      <w:bookmarkStart w:id="19" w:name="_Ref187409544"/>
      <w:bookmarkStart w:id="20" w:name="_Toc187677087"/>
      <w:r w:rsidRPr="00150EC2">
        <w:t xml:space="preserve">Table </w:t>
      </w:r>
      <w:r>
        <w:fldChar w:fldCharType="begin"/>
      </w:r>
      <w:r>
        <w:instrText xml:space="preserve"> SEQ Table \* ARABIC </w:instrText>
      </w:r>
      <w:r>
        <w:fldChar w:fldCharType="separate"/>
      </w:r>
      <w:r w:rsidRPr="00150EC2">
        <w:rPr>
          <w:noProof/>
        </w:rPr>
        <w:t>8</w:t>
      </w:r>
      <w:r>
        <w:rPr>
          <w:noProof/>
        </w:rPr>
        <w:fldChar w:fldCharType="end"/>
      </w:r>
      <w:bookmarkEnd w:id="19"/>
      <w:r w:rsidRPr="00150EC2">
        <w:t>. Number of</w:t>
      </w:r>
      <w:r>
        <w:t xml:space="preserve"> Terminals with On-dock Rail </w:t>
      </w:r>
      <w:r w:rsidRPr="008D7ED2">
        <w:t xml:space="preserve">Access by Top 25 Container Port, as of </w:t>
      </w:r>
      <w:r w:rsidR="00E7625A" w:rsidRPr="008D7ED2">
        <w:t>October</w:t>
      </w:r>
      <w:r w:rsidRPr="008D7ED2">
        <w:t xml:space="preserve"> 202</w:t>
      </w:r>
      <w:r w:rsidR="00E7625A" w:rsidRPr="008D7ED2">
        <w:t>5</w:t>
      </w:r>
    </w:p>
    <w:tbl>
      <w:tblPr>
        <w:tblStyle w:val="BTSTextualTable"/>
        <w:tblW w:w="5000" w:type="pct"/>
        <w:tblLook w:val="04A0" w:firstRow="1" w:lastRow="0" w:firstColumn="1" w:lastColumn="0" w:noHBand="0" w:noVBand="1"/>
      </w:tblPr>
      <w:tblGrid>
        <w:gridCol w:w="4639"/>
        <w:gridCol w:w="1344"/>
        <w:gridCol w:w="3377"/>
      </w:tblGrid>
      <w:tr w:rsidR="00F418FA" w:rsidRPr="00150EC2" w14:paraId="550C5B49" w14:textId="77777777" w:rsidTr="006C5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8" w:type="pct"/>
          </w:tcPr>
          <w:bookmarkEnd w:id="20"/>
          <w:p w14:paraId="651288DE" w14:textId="08C4562E" w:rsidR="00F418FA" w:rsidRPr="00150EC2" w:rsidRDefault="004742F0">
            <w:pPr>
              <w:pStyle w:val="BTSTableHeader"/>
              <w:keepNext/>
              <w:keepLines/>
            </w:pPr>
            <w:r>
              <w:t>Port</w:t>
            </w:r>
          </w:p>
        </w:tc>
        <w:tc>
          <w:tcPr>
            <w:tcW w:w="718" w:type="pct"/>
          </w:tcPr>
          <w:p w14:paraId="1319A942" w14:textId="36AA7BFA" w:rsidR="00F418FA" w:rsidRPr="00150EC2" w:rsidRDefault="004742F0">
            <w:pPr>
              <w:pStyle w:val="BTSTableHeader"/>
              <w:keepNext/>
              <w:keepLines/>
              <w:cnfStyle w:val="100000000000" w:firstRow="1" w:lastRow="0" w:firstColumn="0" w:lastColumn="0" w:oddVBand="0" w:evenVBand="0" w:oddHBand="0" w:evenHBand="0" w:firstRowFirstColumn="0" w:firstRowLastColumn="0" w:lastRowFirstColumn="0" w:lastRowLastColumn="0"/>
            </w:pPr>
            <w:r>
              <w:t>Container Terminals</w:t>
            </w:r>
          </w:p>
        </w:tc>
        <w:tc>
          <w:tcPr>
            <w:tcW w:w="1804" w:type="pct"/>
          </w:tcPr>
          <w:p w14:paraId="5A7EFF13" w14:textId="26173E8F" w:rsidR="00F418FA" w:rsidRPr="00150EC2" w:rsidRDefault="004742F0">
            <w:pPr>
              <w:pStyle w:val="BTSTableHeader"/>
              <w:keepNext/>
              <w:keepLines/>
              <w:cnfStyle w:val="100000000000" w:firstRow="1" w:lastRow="0" w:firstColumn="0" w:lastColumn="0" w:oddVBand="0" w:evenVBand="0" w:oddHBand="0" w:evenHBand="0" w:firstRowFirstColumn="0" w:firstRowLastColumn="0" w:lastRowFirstColumn="0" w:lastRowLastColumn="0"/>
            </w:pPr>
            <w:r>
              <w:t>Container Terminals with On Dock Rail Facilities</w:t>
            </w:r>
          </w:p>
        </w:tc>
      </w:tr>
      <w:tr w:rsidR="006C5134" w:rsidRPr="006C5134" w14:paraId="19351D07"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609FE839"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Baltimore, MD</w:t>
            </w:r>
          </w:p>
        </w:tc>
        <w:tc>
          <w:tcPr>
            <w:tcW w:w="718" w:type="pct"/>
            <w:noWrap/>
            <w:hideMark/>
          </w:tcPr>
          <w:p w14:paraId="719CCC03"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2</w:t>
            </w:r>
          </w:p>
        </w:tc>
        <w:tc>
          <w:tcPr>
            <w:tcW w:w="1804" w:type="pct"/>
            <w:noWrap/>
            <w:hideMark/>
          </w:tcPr>
          <w:p w14:paraId="274B9237"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r>
      <w:tr w:rsidR="006C5134" w:rsidRPr="006C5134" w14:paraId="405A9187"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25A74F3D"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Boston, MA</w:t>
            </w:r>
          </w:p>
        </w:tc>
        <w:tc>
          <w:tcPr>
            <w:tcW w:w="718" w:type="pct"/>
            <w:noWrap/>
            <w:hideMark/>
          </w:tcPr>
          <w:p w14:paraId="1E97ABC2"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c>
          <w:tcPr>
            <w:tcW w:w="1804" w:type="pct"/>
            <w:noWrap/>
            <w:hideMark/>
          </w:tcPr>
          <w:p w14:paraId="3BA4E7BA"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0</w:t>
            </w:r>
          </w:p>
        </w:tc>
      </w:tr>
      <w:tr w:rsidR="006C5134" w:rsidRPr="006C5134" w14:paraId="35C9A661"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6D8DC267"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 xml:space="preserve">Honolulu, </w:t>
            </w:r>
            <w:proofErr w:type="spellStart"/>
            <w:r w:rsidRPr="006C5134">
              <w:rPr>
                <w:rFonts w:ascii="Calibri" w:eastAsia="Times New Roman" w:hAnsi="Calibri" w:cs="Calibri"/>
                <w:color w:val="000000"/>
              </w:rPr>
              <w:t>O'ahu</w:t>
            </w:r>
            <w:proofErr w:type="spellEnd"/>
            <w:r w:rsidRPr="006C5134">
              <w:rPr>
                <w:rFonts w:ascii="Calibri" w:eastAsia="Times New Roman" w:hAnsi="Calibri" w:cs="Calibri"/>
                <w:color w:val="000000"/>
              </w:rPr>
              <w:t>, HI</w:t>
            </w:r>
          </w:p>
        </w:tc>
        <w:tc>
          <w:tcPr>
            <w:tcW w:w="718" w:type="pct"/>
            <w:noWrap/>
            <w:hideMark/>
          </w:tcPr>
          <w:p w14:paraId="7267EBDE"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c>
          <w:tcPr>
            <w:tcW w:w="1804" w:type="pct"/>
            <w:noWrap/>
            <w:hideMark/>
          </w:tcPr>
          <w:p w14:paraId="17D086A2"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0</w:t>
            </w:r>
          </w:p>
        </w:tc>
      </w:tr>
      <w:tr w:rsidR="006C5134" w:rsidRPr="006C5134" w14:paraId="14DAA7D6"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1400B38E"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Houston Port Authority, TX</w:t>
            </w:r>
          </w:p>
        </w:tc>
        <w:tc>
          <w:tcPr>
            <w:tcW w:w="718" w:type="pct"/>
            <w:noWrap/>
            <w:hideMark/>
          </w:tcPr>
          <w:p w14:paraId="79F4F9AB"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2</w:t>
            </w:r>
          </w:p>
        </w:tc>
        <w:tc>
          <w:tcPr>
            <w:tcW w:w="1804" w:type="pct"/>
            <w:noWrap/>
            <w:hideMark/>
          </w:tcPr>
          <w:p w14:paraId="461AFFF8"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r>
      <w:tr w:rsidR="006C5134" w:rsidRPr="006C5134" w14:paraId="2CEAD940"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23656EF2"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Jacksonville, FL</w:t>
            </w:r>
          </w:p>
        </w:tc>
        <w:tc>
          <w:tcPr>
            <w:tcW w:w="718" w:type="pct"/>
            <w:noWrap/>
            <w:hideMark/>
          </w:tcPr>
          <w:p w14:paraId="055E0838"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3</w:t>
            </w:r>
          </w:p>
        </w:tc>
        <w:tc>
          <w:tcPr>
            <w:tcW w:w="1804" w:type="pct"/>
            <w:noWrap/>
            <w:hideMark/>
          </w:tcPr>
          <w:p w14:paraId="036DF8B5"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2</w:t>
            </w:r>
          </w:p>
        </w:tc>
      </w:tr>
      <w:tr w:rsidR="006C5134" w:rsidRPr="006C5134" w14:paraId="26D92E4F"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489D2725"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Mobile, AL</w:t>
            </w:r>
          </w:p>
        </w:tc>
        <w:tc>
          <w:tcPr>
            <w:tcW w:w="718" w:type="pct"/>
            <w:noWrap/>
            <w:hideMark/>
          </w:tcPr>
          <w:p w14:paraId="4FF38770"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c>
          <w:tcPr>
            <w:tcW w:w="1804" w:type="pct"/>
            <w:noWrap/>
            <w:hideMark/>
          </w:tcPr>
          <w:p w14:paraId="4C9FBB17"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r>
      <w:tr w:rsidR="006C5134" w:rsidRPr="006C5134" w14:paraId="79B0ECEB"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74D25514"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New Orleans, LA</w:t>
            </w:r>
          </w:p>
        </w:tc>
        <w:tc>
          <w:tcPr>
            <w:tcW w:w="718" w:type="pct"/>
            <w:noWrap/>
            <w:hideMark/>
          </w:tcPr>
          <w:p w14:paraId="4416CBF0"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c>
          <w:tcPr>
            <w:tcW w:w="1804" w:type="pct"/>
            <w:noWrap/>
            <w:hideMark/>
          </w:tcPr>
          <w:p w14:paraId="399A90C7"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r>
      <w:tr w:rsidR="006C5134" w:rsidRPr="006C5134" w14:paraId="213F7671"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137DF048"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New York, NY &amp; NJ</w:t>
            </w:r>
          </w:p>
        </w:tc>
        <w:tc>
          <w:tcPr>
            <w:tcW w:w="718" w:type="pct"/>
            <w:noWrap/>
            <w:hideMark/>
          </w:tcPr>
          <w:p w14:paraId="6177A5D6"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6</w:t>
            </w:r>
          </w:p>
        </w:tc>
        <w:tc>
          <w:tcPr>
            <w:tcW w:w="1804" w:type="pct"/>
            <w:noWrap/>
            <w:hideMark/>
          </w:tcPr>
          <w:p w14:paraId="4621FEF9"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4</w:t>
            </w:r>
          </w:p>
        </w:tc>
      </w:tr>
      <w:tr w:rsidR="006C5134" w:rsidRPr="006C5134" w14:paraId="3A528D01"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1AAF9AAE"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Oxnard Harbor District, CA</w:t>
            </w:r>
          </w:p>
        </w:tc>
        <w:tc>
          <w:tcPr>
            <w:tcW w:w="718" w:type="pct"/>
            <w:noWrap/>
            <w:hideMark/>
          </w:tcPr>
          <w:p w14:paraId="5DCDBF94"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c>
          <w:tcPr>
            <w:tcW w:w="1804" w:type="pct"/>
            <w:noWrap/>
            <w:hideMark/>
          </w:tcPr>
          <w:p w14:paraId="393B7DB6"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0</w:t>
            </w:r>
          </w:p>
        </w:tc>
      </w:tr>
      <w:tr w:rsidR="006C5134" w:rsidRPr="006C5134" w14:paraId="69DE1FA4"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0BF829B2"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Philadelphia Regional Port, PA</w:t>
            </w:r>
          </w:p>
        </w:tc>
        <w:tc>
          <w:tcPr>
            <w:tcW w:w="718" w:type="pct"/>
            <w:noWrap/>
            <w:hideMark/>
          </w:tcPr>
          <w:p w14:paraId="4A644C55"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2</w:t>
            </w:r>
          </w:p>
        </w:tc>
        <w:tc>
          <w:tcPr>
            <w:tcW w:w="1804" w:type="pct"/>
            <w:noWrap/>
            <w:hideMark/>
          </w:tcPr>
          <w:p w14:paraId="04D13B57"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r>
      <w:tr w:rsidR="006C5134" w:rsidRPr="006C5134" w14:paraId="2B471797"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0970C8C6"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Port Everglades, FL</w:t>
            </w:r>
          </w:p>
        </w:tc>
        <w:tc>
          <w:tcPr>
            <w:tcW w:w="718" w:type="pct"/>
            <w:noWrap/>
            <w:hideMark/>
          </w:tcPr>
          <w:p w14:paraId="46D30083"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2</w:t>
            </w:r>
          </w:p>
        </w:tc>
        <w:tc>
          <w:tcPr>
            <w:tcW w:w="1804" w:type="pct"/>
            <w:noWrap/>
            <w:hideMark/>
          </w:tcPr>
          <w:p w14:paraId="27C77E5A"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0</w:t>
            </w:r>
          </w:p>
        </w:tc>
      </w:tr>
      <w:tr w:rsidR="006C5134" w:rsidRPr="006C5134" w14:paraId="0A063332"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6160CDFA"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Port of Alaska, AK</w:t>
            </w:r>
          </w:p>
        </w:tc>
        <w:tc>
          <w:tcPr>
            <w:tcW w:w="718" w:type="pct"/>
            <w:noWrap/>
            <w:hideMark/>
          </w:tcPr>
          <w:p w14:paraId="59CACCA8"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c>
          <w:tcPr>
            <w:tcW w:w="1804" w:type="pct"/>
            <w:noWrap/>
            <w:hideMark/>
          </w:tcPr>
          <w:p w14:paraId="541A24E4"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0</w:t>
            </w:r>
          </w:p>
        </w:tc>
      </w:tr>
      <w:tr w:rsidR="006C5134" w:rsidRPr="006C5134" w14:paraId="60851013"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2AE6BC03"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Port of Charleston, SC</w:t>
            </w:r>
          </w:p>
        </w:tc>
        <w:tc>
          <w:tcPr>
            <w:tcW w:w="718" w:type="pct"/>
            <w:noWrap/>
            <w:hideMark/>
          </w:tcPr>
          <w:p w14:paraId="70C7976D"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3</w:t>
            </w:r>
          </w:p>
        </w:tc>
        <w:tc>
          <w:tcPr>
            <w:tcW w:w="1804" w:type="pct"/>
            <w:noWrap/>
            <w:hideMark/>
          </w:tcPr>
          <w:p w14:paraId="340936B8"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0</w:t>
            </w:r>
          </w:p>
        </w:tc>
      </w:tr>
      <w:tr w:rsidR="006C5134" w:rsidRPr="006C5134" w14:paraId="66DDE301"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6BC6A3EF"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Port of Long Beach, CA</w:t>
            </w:r>
          </w:p>
        </w:tc>
        <w:tc>
          <w:tcPr>
            <w:tcW w:w="718" w:type="pct"/>
            <w:noWrap/>
            <w:hideMark/>
          </w:tcPr>
          <w:p w14:paraId="3E8BEB68"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6</w:t>
            </w:r>
          </w:p>
        </w:tc>
        <w:tc>
          <w:tcPr>
            <w:tcW w:w="1804" w:type="pct"/>
            <w:noWrap/>
            <w:hideMark/>
          </w:tcPr>
          <w:p w14:paraId="18D2B7B2"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5</w:t>
            </w:r>
          </w:p>
        </w:tc>
      </w:tr>
      <w:tr w:rsidR="006C5134" w:rsidRPr="006C5134" w14:paraId="6D1808D5"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695A982B"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Port of Los Angeles, CA</w:t>
            </w:r>
          </w:p>
        </w:tc>
        <w:tc>
          <w:tcPr>
            <w:tcW w:w="718" w:type="pct"/>
            <w:noWrap/>
            <w:hideMark/>
          </w:tcPr>
          <w:p w14:paraId="538C9EA9"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7</w:t>
            </w:r>
          </w:p>
        </w:tc>
        <w:tc>
          <w:tcPr>
            <w:tcW w:w="1804" w:type="pct"/>
            <w:noWrap/>
            <w:hideMark/>
          </w:tcPr>
          <w:p w14:paraId="54AF8898"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5</w:t>
            </w:r>
          </w:p>
        </w:tc>
      </w:tr>
      <w:tr w:rsidR="006C5134" w:rsidRPr="006C5134" w14:paraId="485CA0E1"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4E17B682"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Port of Oakland, CA</w:t>
            </w:r>
          </w:p>
        </w:tc>
        <w:tc>
          <w:tcPr>
            <w:tcW w:w="718" w:type="pct"/>
            <w:noWrap/>
            <w:hideMark/>
          </w:tcPr>
          <w:p w14:paraId="7EC17F0D"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6</w:t>
            </w:r>
          </w:p>
        </w:tc>
        <w:tc>
          <w:tcPr>
            <w:tcW w:w="1804" w:type="pct"/>
            <w:noWrap/>
            <w:hideMark/>
          </w:tcPr>
          <w:p w14:paraId="60341027"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0</w:t>
            </w:r>
          </w:p>
        </w:tc>
      </w:tr>
      <w:tr w:rsidR="006C5134" w:rsidRPr="006C5134" w14:paraId="0843DC5C"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2494A31E"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Port of Savannah, GA</w:t>
            </w:r>
          </w:p>
        </w:tc>
        <w:tc>
          <w:tcPr>
            <w:tcW w:w="718" w:type="pct"/>
            <w:noWrap/>
            <w:hideMark/>
          </w:tcPr>
          <w:p w14:paraId="75428565"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2</w:t>
            </w:r>
          </w:p>
        </w:tc>
        <w:tc>
          <w:tcPr>
            <w:tcW w:w="1804" w:type="pct"/>
            <w:noWrap/>
            <w:hideMark/>
          </w:tcPr>
          <w:p w14:paraId="1404692F"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2</w:t>
            </w:r>
          </w:p>
        </w:tc>
      </w:tr>
      <w:tr w:rsidR="006C5134" w:rsidRPr="006C5134" w14:paraId="241E0C64"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2E697650" w14:textId="77777777" w:rsidR="006C5134" w:rsidRPr="006C5134" w:rsidRDefault="006C5134" w:rsidP="006C5134">
            <w:pPr>
              <w:spacing w:line="240" w:lineRule="auto"/>
              <w:rPr>
                <w:rFonts w:ascii="Calibri" w:eastAsia="Times New Roman" w:hAnsi="Calibri" w:cs="Calibri"/>
                <w:color w:val="000000"/>
              </w:rPr>
            </w:pPr>
            <w:proofErr w:type="spellStart"/>
            <w:r w:rsidRPr="006C5134">
              <w:rPr>
                <w:rFonts w:ascii="Calibri" w:eastAsia="Times New Roman" w:hAnsi="Calibri" w:cs="Calibri"/>
                <w:color w:val="000000"/>
              </w:rPr>
              <w:t>PortMiami</w:t>
            </w:r>
            <w:proofErr w:type="spellEnd"/>
            <w:r w:rsidRPr="006C5134">
              <w:rPr>
                <w:rFonts w:ascii="Calibri" w:eastAsia="Times New Roman" w:hAnsi="Calibri" w:cs="Calibri"/>
                <w:color w:val="000000"/>
              </w:rPr>
              <w:t>, FL</w:t>
            </w:r>
          </w:p>
        </w:tc>
        <w:tc>
          <w:tcPr>
            <w:tcW w:w="718" w:type="pct"/>
            <w:noWrap/>
            <w:hideMark/>
          </w:tcPr>
          <w:p w14:paraId="1EEC9A14"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3</w:t>
            </w:r>
          </w:p>
        </w:tc>
        <w:tc>
          <w:tcPr>
            <w:tcW w:w="1804" w:type="pct"/>
            <w:noWrap/>
            <w:hideMark/>
          </w:tcPr>
          <w:p w14:paraId="75DFC1E3"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r>
      <w:tr w:rsidR="006C5134" w:rsidRPr="006C5134" w14:paraId="7836FBB5"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2FCE1399"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San Juan, PR</w:t>
            </w:r>
          </w:p>
        </w:tc>
        <w:tc>
          <w:tcPr>
            <w:tcW w:w="718" w:type="pct"/>
            <w:noWrap/>
            <w:hideMark/>
          </w:tcPr>
          <w:p w14:paraId="0FD2A210"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2</w:t>
            </w:r>
          </w:p>
        </w:tc>
        <w:tc>
          <w:tcPr>
            <w:tcW w:w="1804" w:type="pct"/>
            <w:noWrap/>
            <w:hideMark/>
          </w:tcPr>
          <w:p w14:paraId="1E9FEC3F"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0</w:t>
            </w:r>
          </w:p>
        </w:tc>
      </w:tr>
      <w:tr w:rsidR="006C5134" w:rsidRPr="006C5134" w14:paraId="2D234112"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70635240"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Seattle, WA</w:t>
            </w:r>
          </w:p>
        </w:tc>
        <w:tc>
          <w:tcPr>
            <w:tcW w:w="718" w:type="pct"/>
            <w:noWrap/>
            <w:hideMark/>
          </w:tcPr>
          <w:p w14:paraId="2D575910"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3</w:t>
            </w:r>
          </w:p>
        </w:tc>
        <w:tc>
          <w:tcPr>
            <w:tcW w:w="1804" w:type="pct"/>
            <w:noWrap/>
            <w:hideMark/>
          </w:tcPr>
          <w:p w14:paraId="0B007F60"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2</w:t>
            </w:r>
          </w:p>
        </w:tc>
      </w:tr>
      <w:tr w:rsidR="006C5134" w:rsidRPr="006C5134" w14:paraId="191FFE2F"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3C84160C"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South Jersey Port Corp, NJ</w:t>
            </w:r>
          </w:p>
        </w:tc>
        <w:tc>
          <w:tcPr>
            <w:tcW w:w="718" w:type="pct"/>
            <w:noWrap/>
            <w:hideMark/>
          </w:tcPr>
          <w:p w14:paraId="324EA147"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c>
          <w:tcPr>
            <w:tcW w:w="1804" w:type="pct"/>
            <w:noWrap/>
            <w:hideMark/>
          </w:tcPr>
          <w:p w14:paraId="0D8DEF3F"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r>
      <w:tr w:rsidR="006C5134" w:rsidRPr="006C5134" w14:paraId="2D403B34"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7B6710AF"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Tacoma, WA</w:t>
            </w:r>
          </w:p>
        </w:tc>
        <w:tc>
          <w:tcPr>
            <w:tcW w:w="718" w:type="pct"/>
            <w:noWrap/>
            <w:hideMark/>
          </w:tcPr>
          <w:p w14:paraId="3BF811F2"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6</w:t>
            </w:r>
          </w:p>
        </w:tc>
        <w:tc>
          <w:tcPr>
            <w:tcW w:w="1804" w:type="pct"/>
            <w:noWrap/>
            <w:hideMark/>
          </w:tcPr>
          <w:p w14:paraId="36D53ADF"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4</w:t>
            </w:r>
          </w:p>
        </w:tc>
      </w:tr>
      <w:tr w:rsidR="006C5134" w:rsidRPr="006C5134" w14:paraId="1F367D98"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142C0A97"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Virginia, VA, Port of</w:t>
            </w:r>
          </w:p>
        </w:tc>
        <w:tc>
          <w:tcPr>
            <w:tcW w:w="718" w:type="pct"/>
            <w:noWrap/>
            <w:hideMark/>
          </w:tcPr>
          <w:p w14:paraId="789F0E61"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2</w:t>
            </w:r>
          </w:p>
        </w:tc>
        <w:tc>
          <w:tcPr>
            <w:tcW w:w="1804" w:type="pct"/>
            <w:noWrap/>
            <w:hideMark/>
          </w:tcPr>
          <w:p w14:paraId="08F7A30A"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2</w:t>
            </w:r>
          </w:p>
        </w:tc>
      </w:tr>
      <w:tr w:rsidR="006C5134" w:rsidRPr="006C5134" w14:paraId="2D4CEF7F"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087CE439"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Wilmington, DE</w:t>
            </w:r>
          </w:p>
        </w:tc>
        <w:tc>
          <w:tcPr>
            <w:tcW w:w="718" w:type="pct"/>
            <w:noWrap/>
            <w:hideMark/>
          </w:tcPr>
          <w:p w14:paraId="3A4C146E"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c>
          <w:tcPr>
            <w:tcW w:w="1804" w:type="pct"/>
            <w:noWrap/>
            <w:hideMark/>
          </w:tcPr>
          <w:p w14:paraId="13B8A2DF"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0</w:t>
            </w:r>
          </w:p>
        </w:tc>
      </w:tr>
      <w:tr w:rsidR="006C5134" w:rsidRPr="006C5134" w14:paraId="7EE36356" w14:textId="77777777" w:rsidTr="006C5134">
        <w:trPr>
          <w:trHeight w:val="288"/>
        </w:trPr>
        <w:tc>
          <w:tcPr>
            <w:cnfStyle w:val="001000000000" w:firstRow="0" w:lastRow="0" w:firstColumn="1" w:lastColumn="0" w:oddVBand="0" w:evenVBand="0" w:oddHBand="0" w:evenHBand="0" w:firstRowFirstColumn="0" w:firstRowLastColumn="0" w:lastRowFirstColumn="0" w:lastRowLastColumn="0"/>
            <w:tcW w:w="2478" w:type="pct"/>
            <w:noWrap/>
            <w:hideMark/>
          </w:tcPr>
          <w:p w14:paraId="7B8CB499" w14:textId="77777777" w:rsidR="006C5134" w:rsidRPr="006C5134" w:rsidRDefault="006C5134" w:rsidP="006C5134">
            <w:pPr>
              <w:spacing w:line="240" w:lineRule="auto"/>
              <w:rPr>
                <w:rFonts w:ascii="Calibri" w:eastAsia="Times New Roman" w:hAnsi="Calibri" w:cs="Calibri"/>
                <w:color w:val="000000"/>
              </w:rPr>
            </w:pPr>
            <w:r w:rsidRPr="006C5134">
              <w:rPr>
                <w:rFonts w:ascii="Calibri" w:eastAsia="Times New Roman" w:hAnsi="Calibri" w:cs="Calibri"/>
                <w:color w:val="000000"/>
              </w:rPr>
              <w:t>Wilmington, NC</w:t>
            </w:r>
          </w:p>
        </w:tc>
        <w:tc>
          <w:tcPr>
            <w:tcW w:w="718" w:type="pct"/>
            <w:noWrap/>
            <w:hideMark/>
          </w:tcPr>
          <w:p w14:paraId="5FF94D23"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c>
          <w:tcPr>
            <w:tcW w:w="1804" w:type="pct"/>
            <w:noWrap/>
            <w:hideMark/>
          </w:tcPr>
          <w:p w14:paraId="7A1125C8" w14:textId="77777777" w:rsidR="006C5134" w:rsidRPr="006C5134" w:rsidRDefault="006C5134" w:rsidP="006C5134">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C5134">
              <w:rPr>
                <w:rFonts w:ascii="Calibri" w:eastAsia="Times New Roman" w:hAnsi="Calibri" w:cs="Calibri"/>
                <w:color w:val="000000"/>
              </w:rPr>
              <w:t>1</w:t>
            </w:r>
          </w:p>
        </w:tc>
      </w:tr>
    </w:tbl>
    <w:p w14:paraId="1F977938" w14:textId="3EC91AE2" w:rsidR="00F418FA" w:rsidRPr="00150EC2" w:rsidRDefault="00F418FA" w:rsidP="00F418FA">
      <w:pPr>
        <w:pStyle w:val="BTSNote"/>
      </w:pPr>
      <w:r w:rsidRPr="00150EC2">
        <w:t xml:space="preserve">Source: U.S. Department of Transportation, Bureau of Transportation Statistics and Maritime Administration analysis, based upon individual port authority and marine terminal operator websites, including links to terminal-specific websites as of </w:t>
      </w:r>
      <w:r w:rsidR="005D1BB6" w:rsidRPr="008D7ED2">
        <w:rPr>
          <w:color w:val="auto"/>
        </w:rPr>
        <w:t>October 2025</w:t>
      </w:r>
      <w:r w:rsidRPr="008D7ED2">
        <w:rPr>
          <w:color w:val="auto"/>
        </w:rPr>
        <w:t>.</w:t>
      </w:r>
    </w:p>
    <w:p w14:paraId="533C0B87" w14:textId="1D8F292D" w:rsidR="002A435B" w:rsidRDefault="00F418FA" w:rsidP="000E2DA2">
      <w:pPr>
        <w:pStyle w:val="BTSNote"/>
      </w:pPr>
      <w:r w:rsidRPr="00150EC2">
        <w:t xml:space="preserve">Note: Based upon active marine terminals handling containerships at each port. A rail </w:t>
      </w:r>
      <w:r>
        <w:t>ICTF</w:t>
      </w:r>
      <w:r w:rsidRPr="00150EC2">
        <w:t xml:space="preserve"> within marine terminal boundaries, or accessible without movement over public roads. The presence of an on-dock rail transfer facility allows terminal workers to load containers onto rail cars within the terminal, thereby avoiding the need to transport containers through the terminal gates on the chassis.</w:t>
      </w:r>
    </w:p>
    <w:sectPr w:rsidR="002A435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Del Carpio, Nubia CTR (OST)" w:date="2025-10-09T16:15:00Z" w:initials="ND">
    <w:p w14:paraId="769F98C4" w14:textId="77777777" w:rsidR="005C6365" w:rsidRDefault="005C6365" w:rsidP="005C6365">
      <w:pPr>
        <w:pStyle w:val="CommentText"/>
      </w:pPr>
      <w:r>
        <w:rPr>
          <w:rStyle w:val="CommentReference"/>
        </w:rPr>
        <w:annotationRef/>
      </w:r>
      <w:r>
        <w:t>Need port specific information, which would only come from Alexis to see which ports were affected the most and find what happened in february</w:t>
      </w:r>
    </w:p>
  </w:comment>
  <w:comment w:id="9" w:author="DiJoseph, Patricia (OST)" w:date="2025-10-15T12:29:00Z" w:initials="DP">
    <w:p w14:paraId="674D55BF" w14:textId="556FADFE" w:rsidR="0023197D" w:rsidRDefault="0023197D">
      <w:pPr>
        <w:pStyle w:val="CommentText"/>
      </w:pPr>
      <w:r>
        <w:rPr>
          <w:rStyle w:val="CommentReference"/>
        </w:rPr>
        <w:annotationRef/>
      </w:r>
      <w:r w:rsidRPr="4348D9A2">
        <w:t>Since Alexis is furloughed, BTS being able to include an explanation is dependent on when the shutdown ends.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9F98C4" w15:done="0"/>
  <w15:commentEx w15:paraId="674D55BF" w15:paraIdParent="769F98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08C458" w16cex:dateUtc="2025-10-09T20:15:00Z"/>
  <w16cex:commentExtensible w16cex:durableId="08ED4E4E" w16cex:dateUtc="2025-10-15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9F98C4" w16cid:durableId="6408C458"/>
  <w16cid:commentId w16cid:paraId="674D55BF" w16cid:durableId="08ED4E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2AE2B" w14:textId="77777777" w:rsidR="00D37E61" w:rsidRDefault="00D37E61" w:rsidP="00F418FA">
      <w:pPr>
        <w:spacing w:after="0" w:line="240" w:lineRule="auto"/>
      </w:pPr>
      <w:r>
        <w:separator/>
      </w:r>
    </w:p>
  </w:endnote>
  <w:endnote w:type="continuationSeparator" w:id="0">
    <w:p w14:paraId="5EE00770" w14:textId="77777777" w:rsidR="00D37E61" w:rsidRDefault="00D37E61" w:rsidP="00F418FA">
      <w:pPr>
        <w:spacing w:after="0" w:line="240" w:lineRule="auto"/>
      </w:pPr>
      <w:r>
        <w:continuationSeparator/>
      </w:r>
    </w:p>
  </w:endnote>
  <w:endnote w:type="continuationNotice" w:id="1">
    <w:p w14:paraId="7B907135" w14:textId="77777777" w:rsidR="00D37E61" w:rsidRDefault="00D37E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 w:name="Sabon Next LT">
    <w:panose1 w:val="02000500000000000000"/>
    <w:charset w:val="00"/>
    <w:family w:val="auto"/>
    <w:pitch w:val="variable"/>
    <w:sig w:usb0="A11526FF" w:usb1="D000000B" w:usb2="0001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D6C73" w14:textId="77777777" w:rsidR="00D37E61" w:rsidRDefault="00D37E61" w:rsidP="00F418FA">
      <w:pPr>
        <w:spacing w:after="0" w:line="240" w:lineRule="auto"/>
      </w:pPr>
      <w:r>
        <w:separator/>
      </w:r>
    </w:p>
  </w:footnote>
  <w:footnote w:type="continuationSeparator" w:id="0">
    <w:p w14:paraId="7DD855B6" w14:textId="77777777" w:rsidR="00D37E61" w:rsidRDefault="00D37E61" w:rsidP="00F418FA">
      <w:pPr>
        <w:spacing w:after="0" w:line="240" w:lineRule="auto"/>
      </w:pPr>
      <w:r>
        <w:continuationSeparator/>
      </w:r>
    </w:p>
  </w:footnote>
  <w:footnote w:type="continuationNotice" w:id="1">
    <w:p w14:paraId="614D6278" w14:textId="77777777" w:rsidR="00D37E61" w:rsidRDefault="00D37E61">
      <w:pPr>
        <w:spacing w:after="0" w:line="240" w:lineRule="auto"/>
      </w:pPr>
    </w:p>
  </w:footnote>
  <w:footnote w:id="2">
    <w:p w14:paraId="56F23F49" w14:textId="5E8ABCC0" w:rsidR="00F418FA" w:rsidRDefault="00F418FA" w:rsidP="00F418FA">
      <w:pPr>
        <w:pStyle w:val="BTSFootnote"/>
      </w:pPr>
      <w:r>
        <w:rPr>
          <w:rStyle w:val="FootnoteReference"/>
        </w:rPr>
        <w:footnoteRef/>
      </w:r>
      <w:r>
        <w:t xml:space="preserve"> </w:t>
      </w:r>
      <w:r>
        <w:tab/>
      </w:r>
      <w:r w:rsidRPr="00D870F2">
        <w:t xml:space="preserve">U.S. Department of Transportation, Bureau of Transportation Statistics and Maritime Administration analysis, based upon individual port authority and marine terminal operator websites, including links to terminal-specific websites as of </w:t>
      </w:r>
      <w:r w:rsidR="004E7029">
        <w:t>October 2025</w:t>
      </w:r>
      <w:r w:rsidRPr="00D870F2">
        <w:t>.</w:t>
      </w:r>
    </w:p>
  </w:footnote>
  <w:footnote w:id="3">
    <w:p w14:paraId="2672A69E" w14:textId="77777777" w:rsidR="00F418FA" w:rsidRDefault="00F418FA" w:rsidP="00F418FA">
      <w:pPr>
        <w:pStyle w:val="BTSFootnote"/>
      </w:pPr>
      <w:r>
        <w:rPr>
          <w:rStyle w:val="FootnoteReference"/>
        </w:rPr>
        <w:footnoteRef/>
      </w:r>
      <w:r>
        <w:t xml:space="preserve"> </w:t>
      </w:r>
      <w:r>
        <w:tab/>
      </w:r>
      <w:r w:rsidRPr="00E678E2">
        <w:t xml:space="preserve">Highway intermodal connectors are roads that provide the last-mile connection between major rail, port, airport, and intermodal freight facilities on the National Highway System (NHS). For additional information, please visit </w:t>
      </w:r>
      <w:hyperlink r:id="rId1" w:anchor="toc" w:history="1">
        <w:r w:rsidRPr="004F0539">
          <w:rPr>
            <w:rStyle w:val="Hyperlink"/>
          </w:rPr>
          <w:t>Freight Intermodal Connectors Study (dot.gov)</w:t>
        </w:r>
      </w:hyperlink>
      <w:r w:rsidRPr="00E678E2">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804D1"/>
    <w:multiLevelType w:val="hybridMultilevel"/>
    <w:tmpl w:val="6CC652BC"/>
    <w:lvl w:ilvl="0" w:tplc="53A42D56">
      <w:start w:val="3"/>
      <w:numFmt w:val="decimal"/>
      <w:lvlText w:val="Chapter %1."/>
      <w:lvlJc w:val="left"/>
      <w:pPr>
        <w:ind w:left="1224" w:hanging="360"/>
      </w:pPr>
    </w:lvl>
    <w:lvl w:ilvl="1" w:tplc="8B302402">
      <w:start w:val="1"/>
      <w:numFmt w:val="lowerLetter"/>
      <w:lvlText w:val="%2."/>
      <w:lvlJc w:val="left"/>
      <w:pPr>
        <w:ind w:left="1224" w:hanging="360"/>
      </w:pPr>
    </w:lvl>
    <w:lvl w:ilvl="2" w:tplc="E884CDC2">
      <w:start w:val="1"/>
      <w:numFmt w:val="lowerRoman"/>
      <w:lvlText w:val="%3."/>
      <w:lvlJc w:val="right"/>
      <w:pPr>
        <w:ind w:left="1224" w:hanging="180"/>
      </w:pPr>
    </w:lvl>
    <w:lvl w:ilvl="3" w:tplc="4BE62CEA">
      <w:start w:val="1"/>
      <w:numFmt w:val="decimal"/>
      <w:lvlText w:val="%4."/>
      <w:lvlJc w:val="left"/>
      <w:pPr>
        <w:ind w:left="1224" w:hanging="360"/>
      </w:pPr>
    </w:lvl>
    <w:lvl w:ilvl="4" w:tplc="6358B938">
      <w:start w:val="1"/>
      <w:numFmt w:val="lowerLetter"/>
      <w:lvlText w:val="%5."/>
      <w:lvlJc w:val="left"/>
      <w:pPr>
        <w:ind w:left="2232" w:hanging="360"/>
      </w:pPr>
    </w:lvl>
    <w:lvl w:ilvl="5" w:tplc="0F5EE0A0">
      <w:start w:val="1"/>
      <w:numFmt w:val="lowerRoman"/>
      <w:lvlText w:val="%6."/>
      <w:lvlJc w:val="right"/>
      <w:pPr>
        <w:ind w:left="2736" w:hanging="180"/>
      </w:pPr>
    </w:lvl>
    <w:lvl w:ilvl="6" w:tplc="F1862BF2">
      <w:start w:val="1"/>
      <w:numFmt w:val="decimal"/>
      <w:lvlText w:val="%7."/>
      <w:lvlJc w:val="left"/>
      <w:pPr>
        <w:ind w:left="3240" w:hanging="360"/>
      </w:pPr>
    </w:lvl>
    <w:lvl w:ilvl="7" w:tplc="398E57C8">
      <w:start w:val="1"/>
      <w:numFmt w:val="lowerLetter"/>
      <w:lvlText w:val="%8."/>
      <w:lvlJc w:val="left"/>
      <w:pPr>
        <w:ind w:left="3744" w:hanging="360"/>
      </w:pPr>
    </w:lvl>
    <w:lvl w:ilvl="8" w:tplc="2A42726C">
      <w:start w:val="1"/>
      <w:numFmt w:val="lowerRoman"/>
      <w:lvlText w:val="%9."/>
      <w:lvlJc w:val="right"/>
      <w:pPr>
        <w:ind w:left="4320" w:hanging="180"/>
      </w:pPr>
    </w:lvl>
  </w:abstractNum>
  <w:abstractNum w:abstractNumId="1" w15:restartNumberingAfterBreak="0">
    <w:nsid w:val="59A04CE8"/>
    <w:multiLevelType w:val="hybridMultilevel"/>
    <w:tmpl w:val="FFFFFFFF"/>
    <w:lvl w:ilvl="0" w:tplc="E854983C">
      <w:start w:val="3"/>
      <w:numFmt w:val="decimal"/>
      <w:lvlText w:val="Chapter %1."/>
      <w:lvlJc w:val="left"/>
      <w:pPr>
        <w:ind w:left="1224" w:hanging="360"/>
      </w:pPr>
    </w:lvl>
    <w:lvl w:ilvl="1" w:tplc="B5BEC530">
      <w:start w:val="1"/>
      <w:numFmt w:val="lowerLetter"/>
      <w:lvlText w:val="%2."/>
      <w:lvlJc w:val="left"/>
      <w:pPr>
        <w:ind w:left="1224" w:hanging="360"/>
      </w:pPr>
    </w:lvl>
    <w:lvl w:ilvl="2" w:tplc="4C46ACE6">
      <w:start w:val="1"/>
      <w:numFmt w:val="lowerRoman"/>
      <w:lvlText w:val="%3."/>
      <w:lvlJc w:val="right"/>
      <w:pPr>
        <w:ind w:left="1224" w:hanging="180"/>
      </w:pPr>
    </w:lvl>
    <w:lvl w:ilvl="3" w:tplc="A0267750">
      <w:start w:val="1"/>
      <w:numFmt w:val="decimal"/>
      <w:lvlText w:val="%4."/>
      <w:lvlJc w:val="left"/>
      <w:pPr>
        <w:ind w:left="1224" w:hanging="360"/>
      </w:pPr>
    </w:lvl>
    <w:lvl w:ilvl="4" w:tplc="B5F28258">
      <w:start w:val="1"/>
      <w:numFmt w:val="lowerLetter"/>
      <w:lvlText w:val="%5."/>
      <w:lvlJc w:val="left"/>
      <w:pPr>
        <w:ind w:left="2232" w:hanging="360"/>
      </w:pPr>
    </w:lvl>
    <w:lvl w:ilvl="5" w:tplc="04D23FDC">
      <w:start w:val="1"/>
      <w:numFmt w:val="lowerRoman"/>
      <w:lvlText w:val="%6."/>
      <w:lvlJc w:val="right"/>
      <w:pPr>
        <w:ind w:left="2736" w:hanging="180"/>
      </w:pPr>
    </w:lvl>
    <w:lvl w:ilvl="6" w:tplc="5ED696BC">
      <w:start w:val="1"/>
      <w:numFmt w:val="decimal"/>
      <w:lvlText w:val="%7."/>
      <w:lvlJc w:val="left"/>
      <w:pPr>
        <w:ind w:left="3240" w:hanging="360"/>
      </w:pPr>
    </w:lvl>
    <w:lvl w:ilvl="7" w:tplc="3648B6E8">
      <w:start w:val="1"/>
      <w:numFmt w:val="lowerLetter"/>
      <w:lvlText w:val="%8."/>
      <w:lvlJc w:val="left"/>
      <w:pPr>
        <w:ind w:left="3744" w:hanging="360"/>
      </w:pPr>
    </w:lvl>
    <w:lvl w:ilvl="8" w:tplc="7D663AA4">
      <w:start w:val="1"/>
      <w:numFmt w:val="lowerRoman"/>
      <w:lvlText w:val="%9."/>
      <w:lvlJc w:val="right"/>
      <w:pPr>
        <w:ind w:left="4320" w:hanging="180"/>
      </w:pPr>
    </w:lvl>
  </w:abstractNum>
  <w:abstractNum w:abstractNumId="2" w15:restartNumberingAfterBreak="0">
    <w:nsid w:val="5DB06D75"/>
    <w:multiLevelType w:val="multilevel"/>
    <w:tmpl w:val="071E64D6"/>
    <w:lvl w:ilvl="0">
      <w:start w:val="3"/>
      <w:numFmt w:val="decimal"/>
      <w:pStyle w:val="BTSChapterNumberedMulti"/>
      <w:lvlText w:val="Chapter %1."/>
      <w:lvlJc w:val="left"/>
      <w:pPr>
        <w:ind w:left="1224" w:hanging="1224"/>
      </w:pPr>
      <w:rPr>
        <w:rFonts w:hint="default"/>
      </w:rPr>
    </w:lvl>
    <w:lvl w:ilvl="1">
      <w:start w:val="1"/>
      <w:numFmt w:val="decimal"/>
      <w:pStyle w:val="BTSHeading1Multi"/>
      <w:suff w:val="space"/>
      <w:lvlText w:val="%1.%2."/>
      <w:lvlJc w:val="left"/>
      <w:pPr>
        <w:ind w:left="1224" w:hanging="1224"/>
      </w:pPr>
      <w:rPr>
        <w:rFonts w:hint="default"/>
      </w:rPr>
    </w:lvl>
    <w:lvl w:ilvl="2">
      <w:start w:val="1"/>
      <w:numFmt w:val="decimal"/>
      <w:pStyle w:val="BTSHeading2Multi"/>
      <w:suff w:val="space"/>
      <w:lvlText w:val="%1.%2.%3."/>
      <w:lvlJc w:val="left"/>
      <w:pPr>
        <w:ind w:left="1224" w:hanging="1224"/>
      </w:pPr>
      <w:rPr>
        <w:rFonts w:hint="default"/>
      </w:rPr>
    </w:lvl>
    <w:lvl w:ilvl="3">
      <w:start w:val="1"/>
      <w:numFmt w:val="decimal"/>
      <w:pStyle w:val="BTSHeading3Multi"/>
      <w:suff w:val="space"/>
      <w:lvlText w:val="%1.%2.%3.%4."/>
      <w:lvlJc w:val="left"/>
      <w:pPr>
        <w:ind w:left="1224" w:hanging="1224"/>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86651201">
    <w:abstractNumId w:val="0"/>
  </w:num>
  <w:num w:numId="2" w16cid:durableId="1108937089">
    <w:abstractNumId w:val="1"/>
  </w:num>
  <w:num w:numId="3" w16cid:durableId="71639256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l Carpio, Nubia CTR (OST)">
    <w15:presenceInfo w15:providerId="AD" w15:userId="S::Nubia.DelCarpio.ctr@ad.dot.gov::7ee8c91e-e02f-4bfc-934f-9d492a32d222"/>
  </w15:person>
  <w15:person w15:author="DiJoseph, Patricia (OST)">
    <w15:presenceInfo w15:providerId="AD" w15:userId="S::patricia.dijoseph@ad.dot.gov::8591aec8-dcbd-4968-b4ce-1859ad9fe8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35B"/>
    <w:rsid w:val="00016A83"/>
    <w:rsid w:val="00024B1B"/>
    <w:rsid w:val="00030A11"/>
    <w:rsid w:val="000326A4"/>
    <w:rsid w:val="00086143"/>
    <w:rsid w:val="00086BCE"/>
    <w:rsid w:val="00092C06"/>
    <w:rsid w:val="00096868"/>
    <w:rsid w:val="000A00A8"/>
    <w:rsid w:val="000A0E4D"/>
    <w:rsid w:val="000C11E3"/>
    <w:rsid w:val="000C3AC3"/>
    <w:rsid w:val="000D4178"/>
    <w:rsid w:val="000E0670"/>
    <w:rsid w:val="000E2DA2"/>
    <w:rsid w:val="000F1331"/>
    <w:rsid w:val="00107E6C"/>
    <w:rsid w:val="00136FB5"/>
    <w:rsid w:val="00144F52"/>
    <w:rsid w:val="00151A24"/>
    <w:rsid w:val="00154B68"/>
    <w:rsid w:val="001550B0"/>
    <w:rsid w:val="001573AF"/>
    <w:rsid w:val="00157C3C"/>
    <w:rsid w:val="00180262"/>
    <w:rsid w:val="00187CD5"/>
    <w:rsid w:val="001B26FD"/>
    <w:rsid w:val="001C0185"/>
    <w:rsid w:val="001C114B"/>
    <w:rsid w:val="001C3319"/>
    <w:rsid w:val="001C53A2"/>
    <w:rsid w:val="001E0E52"/>
    <w:rsid w:val="001E1212"/>
    <w:rsid w:val="001F321D"/>
    <w:rsid w:val="001F75D9"/>
    <w:rsid w:val="00220DA3"/>
    <w:rsid w:val="0022108A"/>
    <w:rsid w:val="002255EC"/>
    <w:rsid w:val="0023197D"/>
    <w:rsid w:val="00241117"/>
    <w:rsid w:val="002447B4"/>
    <w:rsid w:val="00247A3B"/>
    <w:rsid w:val="00254388"/>
    <w:rsid w:val="0025637A"/>
    <w:rsid w:val="002570AA"/>
    <w:rsid w:val="00295C58"/>
    <w:rsid w:val="002A435B"/>
    <w:rsid w:val="002A6580"/>
    <w:rsid w:val="002B74E9"/>
    <w:rsid w:val="002C0C5C"/>
    <w:rsid w:val="002C11BF"/>
    <w:rsid w:val="002D035D"/>
    <w:rsid w:val="002D3510"/>
    <w:rsid w:val="002E0926"/>
    <w:rsid w:val="0030041B"/>
    <w:rsid w:val="00306320"/>
    <w:rsid w:val="00310E26"/>
    <w:rsid w:val="00312309"/>
    <w:rsid w:val="00314ABC"/>
    <w:rsid w:val="00316ED8"/>
    <w:rsid w:val="003233CB"/>
    <w:rsid w:val="0033335D"/>
    <w:rsid w:val="00333D9F"/>
    <w:rsid w:val="00355DCD"/>
    <w:rsid w:val="00360FB5"/>
    <w:rsid w:val="00363E4F"/>
    <w:rsid w:val="00372695"/>
    <w:rsid w:val="00384A52"/>
    <w:rsid w:val="003912FD"/>
    <w:rsid w:val="003A4E5B"/>
    <w:rsid w:val="003B316D"/>
    <w:rsid w:val="003B5AF5"/>
    <w:rsid w:val="003C14EB"/>
    <w:rsid w:val="003D0B37"/>
    <w:rsid w:val="003D350A"/>
    <w:rsid w:val="003D4758"/>
    <w:rsid w:val="003D708B"/>
    <w:rsid w:val="003E0FE3"/>
    <w:rsid w:val="003E4A97"/>
    <w:rsid w:val="003F7981"/>
    <w:rsid w:val="00402E8E"/>
    <w:rsid w:val="00406A79"/>
    <w:rsid w:val="0041308A"/>
    <w:rsid w:val="00416256"/>
    <w:rsid w:val="00420276"/>
    <w:rsid w:val="00423966"/>
    <w:rsid w:val="00432495"/>
    <w:rsid w:val="00436A49"/>
    <w:rsid w:val="00443D35"/>
    <w:rsid w:val="004451C2"/>
    <w:rsid w:val="00460973"/>
    <w:rsid w:val="00466156"/>
    <w:rsid w:val="004742F0"/>
    <w:rsid w:val="00476E31"/>
    <w:rsid w:val="00487251"/>
    <w:rsid w:val="004A0507"/>
    <w:rsid w:val="004A16BB"/>
    <w:rsid w:val="004B3540"/>
    <w:rsid w:val="004D3560"/>
    <w:rsid w:val="004D4C10"/>
    <w:rsid w:val="004D7617"/>
    <w:rsid w:val="004E38FE"/>
    <w:rsid w:val="004E3A93"/>
    <w:rsid w:val="004E41FB"/>
    <w:rsid w:val="004E7029"/>
    <w:rsid w:val="004F36E7"/>
    <w:rsid w:val="004F73D6"/>
    <w:rsid w:val="00500F92"/>
    <w:rsid w:val="00503958"/>
    <w:rsid w:val="00504AA7"/>
    <w:rsid w:val="005062C6"/>
    <w:rsid w:val="0051538D"/>
    <w:rsid w:val="00543FDA"/>
    <w:rsid w:val="005466AB"/>
    <w:rsid w:val="00561094"/>
    <w:rsid w:val="005637E1"/>
    <w:rsid w:val="00565B69"/>
    <w:rsid w:val="00570DF5"/>
    <w:rsid w:val="00576D3B"/>
    <w:rsid w:val="005A318A"/>
    <w:rsid w:val="005B0F3C"/>
    <w:rsid w:val="005B3337"/>
    <w:rsid w:val="005C088F"/>
    <w:rsid w:val="005C1652"/>
    <w:rsid w:val="005C2698"/>
    <w:rsid w:val="005C6365"/>
    <w:rsid w:val="005D1BB6"/>
    <w:rsid w:val="005F370E"/>
    <w:rsid w:val="00600904"/>
    <w:rsid w:val="0062664E"/>
    <w:rsid w:val="0063641D"/>
    <w:rsid w:val="006554C5"/>
    <w:rsid w:val="006763EF"/>
    <w:rsid w:val="00683ACB"/>
    <w:rsid w:val="00685F71"/>
    <w:rsid w:val="00686D1B"/>
    <w:rsid w:val="00696C21"/>
    <w:rsid w:val="006A16B5"/>
    <w:rsid w:val="006A5EEF"/>
    <w:rsid w:val="006C5134"/>
    <w:rsid w:val="006D594B"/>
    <w:rsid w:val="006E0887"/>
    <w:rsid w:val="006E16A5"/>
    <w:rsid w:val="006E2474"/>
    <w:rsid w:val="006E6296"/>
    <w:rsid w:val="006E72F1"/>
    <w:rsid w:val="006F209F"/>
    <w:rsid w:val="00704FA2"/>
    <w:rsid w:val="0070503E"/>
    <w:rsid w:val="00705DD8"/>
    <w:rsid w:val="00715CD0"/>
    <w:rsid w:val="00716C09"/>
    <w:rsid w:val="00723D8D"/>
    <w:rsid w:val="0072698E"/>
    <w:rsid w:val="00734CE0"/>
    <w:rsid w:val="007361D6"/>
    <w:rsid w:val="00736873"/>
    <w:rsid w:val="007449AA"/>
    <w:rsid w:val="0075231E"/>
    <w:rsid w:val="0075629C"/>
    <w:rsid w:val="00786874"/>
    <w:rsid w:val="00793FA0"/>
    <w:rsid w:val="0079611B"/>
    <w:rsid w:val="007A3347"/>
    <w:rsid w:val="007A4098"/>
    <w:rsid w:val="007C626A"/>
    <w:rsid w:val="007C6D54"/>
    <w:rsid w:val="007E172B"/>
    <w:rsid w:val="007E34A2"/>
    <w:rsid w:val="007F4CB4"/>
    <w:rsid w:val="007F5F5E"/>
    <w:rsid w:val="00805A7E"/>
    <w:rsid w:val="00806EC5"/>
    <w:rsid w:val="008116D5"/>
    <w:rsid w:val="00811DA5"/>
    <w:rsid w:val="008121A1"/>
    <w:rsid w:val="00831737"/>
    <w:rsid w:val="0083203C"/>
    <w:rsid w:val="00842C51"/>
    <w:rsid w:val="00847D32"/>
    <w:rsid w:val="00850149"/>
    <w:rsid w:val="00865972"/>
    <w:rsid w:val="008804D9"/>
    <w:rsid w:val="00896452"/>
    <w:rsid w:val="008D52BB"/>
    <w:rsid w:val="008D7ED2"/>
    <w:rsid w:val="008E6DBC"/>
    <w:rsid w:val="008E73A7"/>
    <w:rsid w:val="009030FA"/>
    <w:rsid w:val="00904105"/>
    <w:rsid w:val="00906056"/>
    <w:rsid w:val="0092520D"/>
    <w:rsid w:val="00932CC9"/>
    <w:rsid w:val="00961E4D"/>
    <w:rsid w:val="009622EF"/>
    <w:rsid w:val="00965D60"/>
    <w:rsid w:val="00971E1D"/>
    <w:rsid w:val="0097388D"/>
    <w:rsid w:val="00975A07"/>
    <w:rsid w:val="009770C9"/>
    <w:rsid w:val="00984A0C"/>
    <w:rsid w:val="00994A8F"/>
    <w:rsid w:val="009953B1"/>
    <w:rsid w:val="009B523D"/>
    <w:rsid w:val="009C202B"/>
    <w:rsid w:val="009C4A71"/>
    <w:rsid w:val="009C70BD"/>
    <w:rsid w:val="009D122D"/>
    <w:rsid w:val="009F047E"/>
    <w:rsid w:val="00A05D0B"/>
    <w:rsid w:val="00A121EF"/>
    <w:rsid w:val="00A25B32"/>
    <w:rsid w:val="00A30401"/>
    <w:rsid w:val="00A348C1"/>
    <w:rsid w:val="00A37CE8"/>
    <w:rsid w:val="00A41B5D"/>
    <w:rsid w:val="00A52B71"/>
    <w:rsid w:val="00A7564C"/>
    <w:rsid w:val="00A757BB"/>
    <w:rsid w:val="00A83FD2"/>
    <w:rsid w:val="00A91D9F"/>
    <w:rsid w:val="00A96121"/>
    <w:rsid w:val="00A97FC6"/>
    <w:rsid w:val="00AA76EF"/>
    <w:rsid w:val="00AB075F"/>
    <w:rsid w:val="00AB72A5"/>
    <w:rsid w:val="00AE4C67"/>
    <w:rsid w:val="00AF4CB2"/>
    <w:rsid w:val="00B1331A"/>
    <w:rsid w:val="00B34E77"/>
    <w:rsid w:val="00B5057F"/>
    <w:rsid w:val="00B66615"/>
    <w:rsid w:val="00B81DF5"/>
    <w:rsid w:val="00B90596"/>
    <w:rsid w:val="00BB201B"/>
    <w:rsid w:val="00BD3092"/>
    <w:rsid w:val="00BD70ED"/>
    <w:rsid w:val="00BE662E"/>
    <w:rsid w:val="00C06A26"/>
    <w:rsid w:val="00C1497D"/>
    <w:rsid w:val="00C14F91"/>
    <w:rsid w:val="00C2716D"/>
    <w:rsid w:val="00C276EE"/>
    <w:rsid w:val="00C30DEC"/>
    <w:rsid w:val="00C32047"/>
    <w:rsid w:val="00C35DEF"/>
    <w:rsid w:val="00C43418"/>
    <w:rsid w:val="00C442B8"/>
    <w:rsid w:val="00C56501"/>
    <w:rsid w:val="00C729A3"/>
    <w:rsid w:val="00C91C44"/>
    <w:rsid w:val="00CA354A"/>
    <w:rsid w:val="00CA7D43"/>
    <w:rsid w:val="00CB2AB8"/>
    <w:rsid w:val="00CB42C0"/>
    <w:rsid w:val="00CC326A"/>
    <w:rsid w:val="00CD3027"/>
    <w:rsid w:val="00CD3ED9"/>
    <w:rsid w:val="00CE26DA"/>
    <w:rsid w:val="00D178CE"/>
    <w:rsid w:val="00D223FE"/>
    <w:rsid w:val="00D24819"/>
    <w:rsid w:val="00D2734C"/>
    <w:rsid w:val="00D274E0"/>
    <w:rsid w:val="00D317CD"/>
    <w:rsid w:val="00D37E61"/>
    <w:rsid w:val="00D52E31"/>
    <w:rsid w:val="00D7478E"/>
    <w:rsid w:val="00DC2D2B"/>
    <w:rsid w:val="00DE586B"/>
    <w:rsid w:val="00DE7DBF"/>
    <w:rsid w:val="00DF35D9"/>
    <w:rsid w:val="00E11C16"/>
    <w:rsid w:val="00E21BC9"/>
    <w:rsid w:val="00E242F4"/>
    <w:rsid w:val="00E24831"/>
    <w:rsid w:val="00E27A69"/>
    <w:rsid w:val="00E32E42"/>
    <w:rsid w:val="00E42439"/>
    <w:rsid w:val="00E45D1F"/>
    <w:rsid w:val="00E52C6B"/>
    <w:rsid w:val="00E56412"/>
    <w:rsid w:val="00E71380"/>
    <w:rsid w:val="00E7625A"/>
    <w:rsid w:val="00E82771"/>
    <w:rsid w:val="00E86576"/>
    <w:rsid w:val="00E91F6C"/>
    <w:rsid w:val="00E96B7B"/>
    <w:rsid w:val="00EA3E97"/>
    <w:rsid w:val="00EA4A4B"/>
    <w:rsid w:val="00EB0AD1"/>
    <w:rsid w:val="00EB4A77"/>
    <w:rsid w:val="00ED1087"/>
    <w:rsid w:val="00ED3EAD"/>
    <w:rsid w:val="00EE0013"/>
    <w:rsid w:val="00EE3E72"/>
    <w:rsid w:val="00EE5A6B"/>
    <w:rsid w:val="00EE5DAF"/>
    <w:rsid w:val="00EE75FA"/>
    <w:rsid w:val="00EF394E"/>
    <w:rsid w:val="00F05AAA"/>
    <w:rsid w:val="00F103D5"/>
    <w:rsid w:val="00F14E4B"/>
    <w:rsid w:val="00F33165"/>
    <w:rsid w:val="00F418FA"/>
    <w:rsid w:val="00F468E2"/>
    <w:rsid w:val="00F56EBB"/>
    <w:rsid w:val="00F62FD5"/>
    <w:rsid w:val="00F77435"/>
    <w:rsid w:val="00F90B53"/>
    <w:rsid w:val="00F91612"/>
    <w:rsid w:val="00FA04E4"/>
    <w:rsid w:val="00FB4E39"/>
    <w:rsid w:val="00FC1085"/>
    <w:rsid w:val="00FC48C7"/>
    <w:rsid w:val="00FD64AB"/>
    <w:rsid w:val="00FE1822"/>
    <w:rsid w:val="02322D4B"/>
    <w:rsid w:val="046E8162"/>
    <w:rsid w:val="05C97543"/>
    <w:rsid w:val="20FEA8F3"/>
    <w:rsid w:val="3890A45C"/>
    <w:rsid w:val="3D8A524C"/>
    <w:rsid w:val="4534F3D4"/>
    <w:rsid w:val="4EAC488D"/>
    <w:rsid w:val="56E203D1"/>
    <w:rsid w:val="5E62F3C0"/>
    <w:rsid w:val="6A2D123F"/>
    <w:rsid w:val="6A710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F9E10"/>
  <w15:chartTrackingRefBased/>
  <w15:docId w15:val="{998A132A-5AE1-4F75-9FA5-4F033F31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8FA"/>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2A4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35B"/>
    <w:rPr>
      <w:rFonts w:eastAsiaTheme="majorEastAsia" w:cstheme="majorBidi"/>
      <w:color w:val="272727" w:themeColor="text1" w:themeTint="D8"/>
    </w:rPr>
  </w:style>
  <w:style w:type="paragraph" w:styleId="Title">
    <w:name w:val="Title"/>
    <w:basedOn w:val="Normal"/>
    <w:next w:val="Normal"/>
    <w:link w:val="TitleChar"/>
    <w:uiPriority w:val="10"/>
    <w:qFormat/>
    <w:rsid w:val="002A4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35B"/>
    <w:pPr>
      <w:spacing w:before="160"/>
      <w:jc w:val="center"/>
    </w:pPr>
    <w:rPr>
      <w:i/>
      <w:iCs/>
      <w:color w:val="404040" w:themeColor="text1" w:themeTint="BF"/>
    </w:rPr>
  </w:style>
  <w:style w:type="character" w:customStyle="1" w:styleId="QuoteChar">
    <w:name w:val="Quote Char"/>
    <w:basedOn w:val="DefaultParagraphFont"/>
    <w:link w:val="Quote"/>
    <w:uiPriority w:val="29"/>
    <w:rsid w:val="002A435B"/>
    <w:rPr>
      <w:i/>
      <w:iCs/>
      <w:color w:val="404040" w:themeColor="text1" w:themeTint="BF"/>
    </w:rPr>
  </w:style>
  <w:style w:type="paragraph" w:styleId="ListParagraph">
    <w:name w:val="List Paragraph"/>
    <w:basedOn w:val="Normal"/>
    <w:uiPriority w:val="34"/>
    <w:qFormat/>
    <w:rsid w:val="002A435B"/>
    <w:pPr>
      <w:ind w:left="720"/>
      <w:contextualSpacing/>
    </w:pPr>
  </w:style>
  <w:style w:type="character" w:styleId="IntenseEmphasis">
    <w:name w:val="Intense Emphasis"/>
    <w:basedOn w:val="DefaultParagraphFont"/>
    <w:uiPriority w:val="21"/>
    <w:qFormat/>
    <w:rsid w:val="002A435B"/>
    <w:rPr>
      <w:i/>
      <w:iCs/>
      <w:color w:val="0F4761" w:themeColor="accent1" w:themeShade="BF"/>
    </w:rPr>
  </w:style>
  <w:style w:type="paragraph" w:styleId="IntenseQuote">
    <w:name w:val="Intense Quote"/>
    <w:basedOn w:val="Normal"/>
    <w:next w:val="Normal"/>
    <w:link w:val="IntenseQuoteChar"/>
    <w:uiPriority w:val="30"/>
    <w:qFormat/>
    <w:rsid w:val="002A4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35B"/>
    <w:rPr>
      <w:i/>
      <w:iCs/>
      <w:color w:val="0F4761" w:themeColor="accent1" w:themeShade="BF"/>
    </w:rPr>
  </w:style>
  <w:style w:type="character" w:styleId="IntenseReference">
    <w:name w:val="Intense Reference"/>
    <w:basedOn w:val="DefaultParagraphFont"/>
    <w:uiPriority w:val="32"/>
    <w:qFormat/>
    <w:rsid w:val="002A435B"/>
    <w:rPr>
      <w:b/>
      <w:bCs/>
      <w:smallCaps/>
      <w:color w:val="0F4761" w:themeColor="accent1" w:themeShade="BF"/>
      <w:spacing w:val="5"/>
    </w:rPr>
  </w:style>
  <w:style w:type="paragraph" w:customStyle="1" w:styleId="BTSFootnote">
    <w:name w:val="BTS Footnote"/>
    <w:qFormat/>
    <w:rsid w:val="00F418FA"/>
    <w:pPr>
      <w:spacing w:after="0" w:line="240" w:lineRule="auto"/>
      <w:ind w:left="360" w:hanging="360"/>
    </w:pPr>
    <w:rPr>
      <w:rFonts w:ascii="Arial" w:eastAsia="Times New Roman" w:hAnsi="Arial" w:cs="Arial"/>
      <w:kern w:val="0"/>
      <w:sz w:val="18"/>
      <w:szCs w:val="20"/>
      <w14:ligatures w14:val="none"/>
    </w:rPr>
  </w:style>
  <w:style w:type="character" w:styleId="Hyperlink">
    <w:name w:val="Hyperlink"/>
    <w:basedOn w:val="DefaultParagraphFont"/>
    <w:uiPriority w:val="99"/>
    <w:unhideWhenUsed/>
    <w:rsid w:val="00F418FA"/>
    <w:rPr>
      <w:color w:val="0F9ED5" w:themeColor="accent4"/>
      <w:u w:val="single"/>
    </w:rPr>
  </w:style>
  <w:style w:type="character" w:styleId="FootnoteReference">
    <w:name w:val="footnote reference"/>
    <w:semiHidden/>
    <w:rsid w:val="00F418FA"/>
    <w:rPr>
      <w:sz w:val="18"/>
      <w:vertAlign w:val="superscript"/>
    </w:rPr>
  </w:style>
  <w:style w:type="character" w:styleId="CommentReference">
    <w:name w:val="annotation reference"/>
    <w:basedOn w:val="DefaultParagraphFont"/>
    <w:uiPriority w:val="99"/>
    <w:semiHidden/>
    <w:unhideWhenUsed/>
    <w:rsid w:val="00F418FA"/>
    <w:rPr>
      <w:sz w:val="16"/>
      <w:szCs w:val="16"/>
    </w:rPr>
  </w:style>
  <w:style w:type="paragraph" w:styleId="CommentText">
    <w:name w:val="annotation text"/>
    <w:basedOn w:val="Normal"/>
    <w:link w:val="CommentTextChar"/>
    <w:uiPriority w:val="99"/>
    <w:unhideWhenUsed/>
    <w:rsid w:val="00F418FA"/>
    <w:pPr>
      <w:spacing w:line="240" w:lineRule="auto"/>
    </w:pPr>
    <w:rPr>
      <w:sz w:val="20"/>
      <w:szCs w:val="20"/>
    </w:rPr>
  </w:style>
  <w:style w:type="character" w:customStyle="1" w:styleId="CommentTextChar">
    <w:name w:val="Comment Text Char"/>
    <w:basedOn w:val="DefaultParagraphFont"/>
    <w:link w:val="CommentText"/>
    <w:uiPriority w:val="99"/>
    <w:rsid w:val="00F418FA"/>
    <w:rPr>
      <w:rFonts w:eastAsiaTheme="minorEastAsia"/>
      <w:kern w:val="0"/>
      <w:sz w:val="20"/>
      <w:szCs w:val="20"/>
      <w14:ligatures w14:val="none"/>
    </w:rPr>
  </w:style>
  <w:style w:type="paragraph" w:customStyle="1" w:styleId="BTSHeading2Multi">
    <w:name w:val="BTS Heading 2 (Multi)"/>
    <w:basedOn w:val="Heading4"/>
    <w:next w:val="BTSBodyText"/>
    <w:qFormat/>
    <w:rsid w:val="00F418FA"/>
    <w:pPr>
      <w:keepLines w:val="0"/>
      <w:numPr>
        <w:ilvl w:val="2"/>
        <w:numId w:val="3"/>
      </w:numPr>
      <w:spacing w:before="240" w:after="240" w:line="240" w:lineRule="auto"/>
    </w:pPr>
    <w:rPr>
      <w:rFonts w:ascii="Arial Black" w:eastAsiaTheme="minorHAnsi" w:hAnsi="Arial Black" w:cstheme="minorBidi"/>
      <w:i w:val="0"/>
      <w:iCs w:val="0"/>
      <w:color w:val="auto"/>
    </w:rPr>
  </w:style>
  <w:style w:type="paragraph" w:customStyle="1" w:styleId="BTSChapterNumberedMulti">
    <w:name w:val="BTS Chapter Numbered (Multi)"/>
    <w:basedOn w:val="Heading2"/>
    <w:next w:val="BTSBodyText"/>
    <w:qFormat/>
    <w:rsid w:val="00F418FA"/>
    <w:pPr>
      <w:keepNext w:val="0"/>
      <w:keepLines w:val="0"/>
      <w:numPr>
        <w:numId w:val="3"/>
      </w:numPr>
      <w:spacing w:before="1080" w:after="240" w:line="240" w:lineRule="auto"/>
    </w:pPr>
    <w:rPr>
      <w:rFonts w:ascii="Arial Black" w:eastAsia="Times New Roman" w:hAnsi="Arial Black" w:cs="Sabon Next LT"/>
      <w:b/>
      <w:bCs/>
      <w:iCs/>
      <w:color w:val="auto"/>
      <w:sz w:val="36"/>
      <w:shd w:val="clear" w:color="auto" w:fill="FFFFFF"/>
      <w:lang w:val="en"/>
    </w:rPr>
  </w:style>
  <w:style w:type="paragraph" w:customStyle="1" w:styleId="BTSBodyText">
    <w:name w:val="BTS Body Text"/>
    <w:qFormat/>
    <w:rsid w:val="00F418FA"/>
    <w:pPr>
      <w:spacing w:before="240" w:after="240" w:line="240" w:lineRule="auto"/>
    </w:pPr>
    <w:rPr>
      <w:rFonts w:ascii="Arial" w:hAnsi="Arial" w:cs="Arial"/>
      <w:iCs/>
      <w:kern w:val="0"/>
      <w:sz w:val="22"/>
      <w14:ligatures w14:val="none"/>
    </w:rPr>
  </w:style>
  <w:style w:type="paragraph" w:customStyle="1" w:styleId="BTSHeading1Multi">
    <w:name w:val="BTS Heading 1 (Multi)"/>
    <w:basedOn w:val="Heading3"/>
    <w:next w:val="BTSBodyText"/>
    <w:qFormat/>
    <w:rsid w:val="00F418FA"/>
    <w:pPr>
      <w:keepLines w:val="0"/>
      <w:numPr>
        <w:ilvl w:val="1"/>
        <w:numId w:val="3"/>
      </w:numPr>
      <w:spacing w:before="240" w:after="240" w:line="240" w:lineRule="auto"/>
    </w:pPr>
    <w:rPr>
      <w:rFonts w:ascii="Arial Black" w:eastAsiaTheme="minorHAnsi" w:hAnsi="Arial Black" w:cstheme="minorBidi"/>
      <w:caps/>
      <w:color w:val="auto"/>
      <w:sz w:val="24"/>
      <w:szCs w:val="22"/>
    </w:rPr>
  </w:style>
  <w:style w:type="paragraph" w:customStyle="1" w:styleId="BTSFigure">
    <w:name w:val="BTS Figure"/>
    <w:next w:val="BTSNote"/>
    <w:qFormat/>
    <w:rsid w:val="00F418FA"/>
    <w:pPr>
      <w:keepNext/>
      <w:tabs>
        <w:tab w:val="right" w:pos="9360"/>
      </w:tabs>
      <w:spacing w:after="0" w:line="240" w:lineRule="auto"/>
      <w:jc w:val="center"/>
    </w:pPr>
    <w:rPr>
      <w:rFonts w:ascii="Arial" w:hAnsi="Arial" w:cs="Arial"/>
      <w:noProof/>
      <w:kern w:val="0"/>
      <w:sz w:val="22"/>
      <w14:ligatures w14:val="none"/>
    </w:rPr>
  </w:style>
  <w:style w:type="paragraph" w:customStyle="1" w:styleId="BTSTableHeader">
    <w:name w:val="BTS Table Header"/>
    <w:qFormat/>
    <w:rsid w:val="00F418FA"/>
    <w:pPr>
      <w:spacing w:after="0" w:line="240" w:lineRule="auto"/>
      <w:jc w:val="center"/>
    </w:pPr>
    <w:rPr>
      <w:rFonts w:ascii="Arial" w:eastAsia="Times New Roman" w:hAnsi="Arial" w:cs="Arial"/>
      <w:b/>
      <w:bCs/>
      <w:color w:val="FFFFFF" w:themeColor="background1"/>
      <w:kern w:val="0"/>
      <w:sz w:val="18"/>
      <w:szCs w:val="20"/>
      <w14:ligatures w14:val="none"/>
    </w:rPr>
  </w:style>
  <w:style w:type="paragraph" w:customStyle="1" w:styleId="BTSTableBodyL">
    <w:name w:val="BTS Table Body L"/>
    <w:qFormat/>
    <w:rsid w:val="00F418FA"/>
    <w:pPr>
      <w:spacing w:after="0" w:line="240" w:lineRule="auto"/>
    </w:pPr>
    <w:rPr>
      <w:rFonts w:ascii="Arial" w:eastAsia="Times New Roman" w:hAnsi="Arial" w:cs="Arial"/>
      <w:kern w:val="0"/>
      <w:sz w:val="18"/>
      <w:szCs w:val="20"/>
      <w14:ligatures w14:val="none"/>
    </w:rPr>
  </w:style>
  <w:style w:type="paragraph" w:customStyle="1" w:styleId="BTSCaption">
    <w:name w:val="BTS Caption"/>
    <w:basedOn w:val="Caption"/>
    <w:next w:val="BTSBodyText"/>
    <w:qFormat/>
    <w:rsid w:val="00F418FA"/>
    <w:pPr>
      <w:keepNext/>
      <w:spacing w:before="240" w:after="120"/>
      <w:jc w:val="center"/>
    </w:pPr>
    <w:rPr>
      <w:rFonts w:ascii="Arial" w:eastAsiaTheme="minorHAnsi" w:hAnsi="Arial" w:cs="Arial"/>
      <w:b/>
      <w:i w:val="0"/>
      <w:iCs w:val="0"/>
      <w:color w:val="auto"/>
      <w:sz w:val="22"/>
      <w:szCs w:val="24"/>
    </w:rPr>
  </w:style>
  <w:style w:type="paragraph" w:customStyle="1" w:styleId="BTSNote">
    <w:name w:val="BTS Note"/>
    <w:qFormat/>
    <w:rsid w:val="00F418FA"/>
    <w:pPr>
      <w:spacing w:after="240" w:line="240" w:lineRule="auto"/>
      <w:contextualSpacing/>
    </w:pPr>
    <w:rPr>
      <w:rFonts w:ascii="Arial" w:hAnsi="Arial" w:cs="Arial"/>
      <w:color w:val="000000" w:themeColor="text1"/>
      <w:kern w:val="0"/>
      <w:sz w:val="18"/>
      <w:szCs w:val="20"/>
      <w:shd w:val="clear" w:color="auto" w:fill="FFFFFF"/>
      <w14:ligatures w14:val="none"/>
    </w:rPr>
  </w:style>
  <w:style w:type="paragraph" w:customStyle="1" w:styleId="BTSHeading3Multi">
    <w:name w:val="BTS Heading 3 (Multi)"/>
    <w:basedOn w:val="Heading5"/>
    <w:next w:val="BTSBodyText"/>
    <w:qFormat/>
    <w:rsid w:val="00F418FA"/>
    <w:pPr>
      <w:keepLines w:val="0"/>
      <w:numPr>
        <w:ilvl w:val="3"/>
        <w:numId w:val="3"/>
      </w:numPr>
      <w:spacing w:before="240" w:after="120" w:line="240" w:lineRule="auto"/>
    </w:pPr>
    <w:rPr>
      <w:rFonts w:ascii="Arial" w:eastAsiaTheme="minorHAnsi" w:hAnsi="Arial" w:cstheme="minorBidi"/>
      <w:b/>
      <w:bCs/>
      <w:i/>
      <w:color w:val="auto"/>
    </w:rPr>
  </w:style>
  <w:style w:type="table" w:customStyle="1" w:styleId="BTSTextualTable">
    <w:name w:val="BTS Textual Table"/>
    <w:basedOn w:val="TableNormal"/>
    <w:uiPriority w:val="99"/>
    <w:rsid w:val="00F418FA"/>
    <w:pPr>
      <w:spacing w:after="0" w:line="240" w:lineRule="auto"/>
    </w:pPr>
    <w:rPr>
      <w:rFonts w:ascii="Arial" w:hAnsi="Arial"/>
      <w:kern w:val="0"/>
      <w:sz w:val="20"/>
      <w:szCs w:val="22"/>
      <w14:ligatures w14:val="none"/>
    </w:rPr>
    <w:tblPr>
      <w:tblStyleRowBandSize w:val="1"/>
      <w:tblStyleColBandSize w:val="1"/>
      <w:tblBorders>
        <w:top w:val="single" w:sz="4" w:space="0" w:color="auto"/>
        <w:bottom w:val="single" w:sz="4" w:space="0" w:color="auto"/>
        <w:insideH w:val="single" w:sz="4" w:space="0" w:color="auto"/>
      </w:tblBorders>
    </w:tblPr>
    <w:trPr>
      <w:cantSplit/>
    </w:trPr>
    <w:tblStylePr w:type="firstRow">
      <w:pPr>
        <w:jc w:val="center"/>
      </w:pPr>
      <w:rPr>
        <w:rFonts w:ascii="Arial" w:hAnsi="Arial"/>
        <w:b w:val="0"/>
        <w:sz w:val="18"/>
      </w:rPr>
      <w:tblPr/>
      <w:tcPr>
        <w:shd w:val="clear" w:color="auto" w:fill="328085"/>
        <w:vAlign w:val="bottom"/>
      </w:tcPr>
    </w:tblStylePr>
    <w:tblStylePr w:type="firstCol">
      <w:rPr>
        <w:rFonts w:ascii="Arial" w:hAnsi="Arial"/>
        <w:sz w:val="20"/>
      </w:rPr>
      <w:tblPr/>
      <w:tcPr>
        <w:shd w:val="clear" w:color="auto" w:fill="DBDBDB"/>
      </w:tcPr>
    </w:tblStylePr>
  </w:style>
  <w:style w:type="paragraph" w:customStyle="1" w:styleId="BTSTableBodyR">
    <w:name w:val="BTS Table Body R"/>
    <w:basedOn w:val="BTSTableBodyL"/>
    <w:qFormat/>
    <w:rsid w:val="00F418FA"/>
    <w:pPr>
      <w:jc w:val="right"/>
    </w:pPr>
  </w:style>
  <w:style w:type="paragraph" w:styleId="Caption">
    <w:name w:val="caption"/>
    <w:basedOn w:val="Normal"/>
    <w:next w:val="Normal"/>
    <w:uiPriority w:val="35"/>
    <w:semiHidden/>
    <w:unhideWhenUsed/>
    <w:qFormat/>
    <w:rsid w:val="00F418FA"/>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9C70BD"/>
    <w:rPr>
      <w:color w:val="96607D" w:themeColor="followedHyperlink"/>
      <w:u w:val="single"/>
    </w:rPr>
  </w:style>
  <w:style w:type="paragraph" w:styleId="Revision">
    <w:name w:val="Revision"/>
    <w:hidden/>
    <w:uiPriority w:val="99"/>
    <w:semiHidden/>
    <w:rsid w:val="00A25B32"/>
    <w:pPr>
      <w:spacing w:after="0" w:line="240" w:lineRule="auto"/>
    </w:pPr>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CC32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32CC9"/>
    <w:rPr>
      <w:b/>
      <w:bCs/>
    </w:rPr>
  </w:style>
  <w:style w:type="character" w:customStyle="1" w:styleId="CommentSubjectChar">
    <w:name w:val="Comment Subject Char"/>
    <w:basedOn w:val="CommentTextChar"/>
    <w:link w:val="CommentSubject"/>
    <w:uiPriority w:val="99"/>
    <w:semiHidden/>
    <w:rsid w:val="00932CC9"/>
    <w:rPr>
      <w:rFonts w:eastAsiaTheme="minorEastAsia"/>
      <w:b/>
      <w:bCs/>
      <w:kern w:val="0"/>
      <w:sz w:val="20"/>
      <w:szCs w:val="20"/>
      <w14:ligatures w14:val="none"/>
    </w:rPr>
  </w:style>
  <w:style w:type="table" w:styleId="TableGrid">
    <w:name w:val="Table Grid"/>
    <w:basedOn w:val="TableNormal"/>
    <w:uiPriority w:val="39"/>
    <w:rsid w:val="000E0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6E62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E6296"/>
    <w:rPr>
      <w:rFonts w:eastAsiaTheme="minorEastAsia"/>
      <w:kern w:val="0"/>
      <w:sz w:val="22"/>
      <w:szCs w:val="22"/>
      <w14:ligatures w14:val="none"/>
    </w:rPr>
  </w:style>
  <w:style w:type="paragraph" w:styleId="Footer">
    <w:name w:val="footer"/>
    <w:basedOn w:val="Normal"/>
    <w:link w:val="FooterChar"/>
    <w:uiPriority w:val="99"/>
    <w:semiHidden/>
    <w:unhideWhenUsed/>
    <w:rsid w:val="006E62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E629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079">
      <w:bodyDiv w:val="1"/>
      <w:marLeft w:val="0"/>
      <w:marRight w:val="0"/>
      <w:marTop w:val="0"/>
      <w:marBottom w:val="0"/>
      <w:divBdr>
        <w:top w:val="none" w:sz="0" w:space="0" w:color="auto"/>
        <w:left w:val="none" w:sz="0" w:space="0" w:color="auto"/>
        <w:bottom w:val="none" w:sz="0" w:space="0" w:color="auto"/>
        <w:right w:val="none" w:sz="0" w:space="0" w:color="auto"/>
      </w:divBdr>
    </w:div>
    <w:div w:id="14305213">
      <w:bodyDiv w:val="1"/>
      <w:marLeft w:val="0"/>
      <w:marRight w:val="0"/>
      <w:marTop w:val="0"/>
      <w:marBottom w:val="0"/>
      <w:divBdr>
        <w:top w:val="none" w:sz="0" w:space="0" w:color="auto"/>
        <w:left w:val="none" w:sz="0" w:space="0" w:color="auto"/>
        <w:bottom w:val="none" w:sz="0" w:space="0" w:color="auto"/>
        <w:right w:val="none" w:sz="0" w:space="0" w:color="auto"/>
      </w:divBdr>
    </w:div>
    <w:div w:id="40324135">
      <w:bodyDiv w:val="1"/>
      <w:marLeft w:val="0"/>
      <w:marRight w:val="0"/>
      <w:marTop w:val="0"/>
      <w:marBottom w:val="0"/>
      <w:divBdr>
        <w:top w:val="none" w:sz="0" w:space="0" w:color="auto"/>
        <w:left w:val="none" w:sz="0" w:space="0" w:color="auto"/>
        <w:bottom w:val="none" w:sz="0" w:space="0" w:color="auto"/>
        <w:right w:val="none" w:sz="0" w:space="0" w:color="auto"/>
      </w:divBdr>
    </w:div>
    <w:div w:id="260139543">
      <w:bodyDiv w:val="1"/>
      <w:marLeft w:val="0"/>
      <w:marRight w:val="0"/>
      <w:marTop w:val="0"/>
      <w:marBottom w:val="0"/>
      <w:divBdr>
        <w:top w:val="none" w:sz="0" w:space="0" w:color="auto"/>
        <w:left w:val="none" w:sz="0" w:space="0" w:color="auto"/>
        <w:bottom w:val="none" w:sz="0" w:space="0" w:color="auto"/>
        <w:right w:val="none" w:sz="0" w:space="0" w:color="auto"/>
      </w:divBdr>
    </w:div>
    <w:div w:id="432821356">
      <w:bodyDiv w:val="1"/>
      <w:marLeft w:val="0"/>
      <w:marRight w:val="0"/>
      <w:marTop w:val="0"/>
      <w:marBottom w:val="0"/>
      <w:divBdr>
        <w:top w:val="none" w:sz="0" w:space="0" w:color="auto"/>
        <w:left w:val="none" w:sz="0" w:space="0" w:color="auto"/>
        <w:bottom w:val="none" w:sz="0" w:space="0" w:color="auto"/>
        <w:right w:val="none" w:sz="0" w:space="0" w:color="auto"/>
      </w:divBdr>
    </w:div>
    <w:div w:id="464204445">
      <w:bodyDiv w:val="1"/>
      <w:marLeft w:val="0"/>
      <w:marRight w:val="0"/>
      <w:marTop w:val="0"/>
      <w:marBottom w:val="0"/>
      <w:divBdr>
        <w:top w:val="none" w:sz="0" w:space="0" w:color="auto"/>
        <w:left w:val="none" w:sz="0" w:space="0" w:color="auto"/>
        <w:bottom w:val="none" w:sz="0" w:space="0" w:color="auto"/>
        <w:right w:val="none" w:sz="0" w:space="0" w:color="auto"/>
      </w:divBdr>
    </w:div>
    <w:div w:id="642809644">
      <w:bodyDiv w:val="1"/>
      <w:marLeft w:val="0"/>
      <w:marRight w:val="0"/>
      <w:marTop w:val="0"/>
      <w:marBottom w:val="0"/>
      <w:divBdr>
        <w:top w:val="none" w:sz="0" w:space="0" w:color="auto"/>
        <w:left w:val="none" w:sz="0" w:space="0" w:color="auto"/>
        <w:bottom w:val="none" w:sz="0" w:space="0" w:color="auto"/>
        <w:right w:val="none" w:sz="0" w:space="0" w:color="auto"/>
      </w:divBdr>
    </w:div>
    <w:div w:id="754590711">
      <w:bodyDiv w:val="1"/>
      <w:marLeft w:val="0"/>
      <w:marRight w:val="0"/>
      <w:marTop w:val="0"/>
      <w:marBottom w:val="0"/>
      <w:divBdr>
        <w:top w:val="none" w:sz="0" w:space="0" w:color="auto"/>
        <w:left w:val="none" w:sz="0" w:space="0" w:color="auto"/>
        <w:bottom w:val="none" w:sz="0" w:space="0" w:color="auto"/>
        <w:right w:val="none" w:sz="0" w:space="0" w:color="auto"/>
      </w:divBdr>
    </w:div>
    <w:div w:id="756252058">
      <w:bodyDiv w:val="1"/>
      <w:marLeft w:val="0"/>
      <w:marRight w:val="0"/>
      <w:marTop w:val="0"/>
      <w:marBottom w:val="0"/>
      <w:divBdr>
        <w:top w:val="none" w:sz="0" w:space="0" w:color="auto"/>
        <w:left w:val="none" w:sz="0" w:space="0" w:color="auto"/>
        <w:bottom w:val="none" w:sz="0" w:space="0" w:color="auto"/>
        <w:right w:val="none" w:sz="0" w:space="0" w:color="auto"/>
      </w:divBdr>
    </w:div>
    <w:div w:id="813446385">
      <w:bodyDiv w:val="1"/>
      <w:marLeft w:val="0"/>
      <w:marRight w:val="0"/>
      <w:marTop w:val="0"/>
      <w:marBottom w:val="0"/>
      <w:divBdr>
        <w:top w:val="none" w:sz="0" w:space="0" w:color="auto"/>
        <w:left w:val="none" w:sz="0" w:space="0" w:color="auto"/>
        <w:bottom w:val="none" w:sz="0" w:space="0" w:color="auto"/>
        <w:right w:val="none" w:sz="0" w:space="0" w:color="auto"/>
      </w:divBdr>
    </w:div>
    <w:div w:id="956107306">
      <w:bodyDiv w:val="1"/>
      <w:marLeft w:val="0"/>
      <w:marRight w:val="0"/>
      <w:marTop w:val="0"/>
      <w:marBottom w:val="0"/>
      <w:divBdr>
        <w:top w:val="none" w:sz="0" w:space="0" w:color="auto"/>
        <w:left w:val="none" w:sz="0" w:space="0" w:color="auto"/>
        <w:bottom w:val="none" w:sz="0" w:space="0" w:color="auto"/>
        <w:right w:val="none" w:sz="0" w:space="0" w:color="auto"/>
      </w:divBdr>
    </w:div>
    <w:div w:id="1011251569">
      <w:bodyDiv w:val="1"/>
      <w:marLeft w:val="0"/>
      <w:marRight w:val="0"/>
      <w:marTop w:val="0"/>
      <w:marBottom w:val="0"/>
      <w:divBdr>
        <w:top w:val="none" w:sz="0" w:space="0" w:color="auto"/>
        <w:left w:val="none" w:sz="0" w:space="0" w:color="auto"/>
        <w:bottom w:val="none" w:sz="0" w:space="0" w:color="auto"/>
        <w:right w:val="none" w:sz="0" w:space="0" w:color="auto"/>
      </w:divBdr>
    </w:div>
    <w:div w:id="1098021475">
      <w:bodyDiv w:val="1"/>
      <w:marLeft w:val="0"/>
      <w:marRight w:val="0"/>
      <w:marTop w:val="0"/>
      <w:marBottom w:val="0"/>
      <w:divBdr>
        <w:top w:val="none" w:sz="0" w:space="0" w:color="auto"/>
        <w:left w:val="none" w:sz="0" w:space="0" w:color="auto"/>
        <w:bottom w:val="none" w:sz="0" w:space="0" w:color="auto"/>
        <w:right w:val="none" w:sz="0" w:space="0" w:color="auto"/>
      </w:divBdr>
    </w:div>
    <w:div w:id="1151750629">
      <w:bodyDiv w:val="1"/>
      <w:marLeft w:val="0"/>
      <w:marRight w:val="0"/>
      <w:marTop w:val="0"/>
      <w:marBottom w:val="0"/>
      <w:divBdr>
        <w:top w:val="none" w:sz="0" w:space="0" w:color="auto"/>
        <w:left w:val="none" w:sz="0" w:space="0" w:color="auto"/>
        <w:bottom w:val="none" w:sz="0" w:space="0" w:color="auto"/>
        <w:right w:val="none" w:sz="0" w:space="0" w:color="auto"/>
      </w:divBdr>
    </w:div>
    <w:div w:id="1345787288">
      <w:bodyDiv w:val="1"/>
      <w:marLeft w:val="0"/>
      <w:marRight w:val="0"/>
      <w:marTop w:val="0"/>
      <w:marBottom w:val="0"/>
      <w:divBdr>
        <w:top w:val="none" w:sz="0" w:space="0" w:color="auto"/>
        <w:left w:val="none" w:sz="0" w:space="0" w:color="auto"/>
        <w:bottom w:val="none" w:sz="0" w:space="0" w:color="auto"/>
        <w:right w:val="none" w:sz="0" w:space="0" w:color="auto"/>
      </w:divBdr>
    </w:div>
    <w:div w:id="1437752616">
      <w:bodyDiv w:val="1"/>
      <w:marLeft w:val="0"/>
      <w:marRight w:val="0"/>
      <w:marTop w:val="0"/>
      <w:marBottom w:val="0"/>
      <w:divBdr>
        <w:top w:val="none" w:sz="0" w:space="0" w:color="auto"/>
        <w:left w:val="none" w:sz="0" w:space="0" w:color="auto"/>
        <w:bottom w:val="none" w:sz="0" w:space="0" w:color="auto"/>
        <w:right w:val="none" w:sz="0" w:space="0" w:color="auto"/>
      </w:divBdr>
    </w:div>
    <w:div w:id="1518883526">
      <w:bodyDiv w:val="1"/>
      <w:marLeft w:val="0"/>
      <w:marRight w:val="0"/>
      <w:marTop w:val="0"/>
      <w:marBottom w:val="0"/>
      <w:divBdr>
        <w:top w:val="none" w:sz="0" w:space="0" w:color="auto"/>
        <w:left w:val="none" w:sz="0" w:space="0" w:color="auto"/>
        <w:bottom w:val="none" w:sz="0" w:space="0" w:color="auto"/>
        <w:right w:val="none" w:sz="0" w:space="0" w:color="auto"/>
      </w:divBdr>
    </w:div>
    <w:div w:id="1591350241">
      <w:bodyDiv w:val="1"/>
      <w:marLeft w:val="0"/>
      <w:marRight w:val="0"/>
      <w:marTop w:val="0"/>
      <w:marBottom w:val="0"/>
      <w:divBdr>
        <w:top w:val="none" w:sz="0" w:space="0" w:color="auto"/>
        <w:left w:val="none" w:sz="0" w:space="0" w:color="auto"/>
        <w:bottom w:val="none" w:sz="0" w:space="0" w:color="auto"/>
        <w:right w:val="none" w:sz="0" w:space="0" w:color="auto"/>
      </w:divBdr>
    </w:div>
    <w:div w:id="1713192743">
      <w:bodyDiv w:val="1"/>
      <w:marLeft w:val="0"/>
      <w:marRight w:val="0"/>
      <w:marTop w:val="0"/>
      <w:marBottom w:val="0"/>
      <w:divBdr>
        <w:top w:val="none" w:sz="0" w:space="0" w:color="auto"/>
        <w:left w:val="none" w:sz="0" w:space="0" w:color="auto"/>
        <w:bottom w:val="none" w:sz="0" w:space="0" w:color="auto"/>
        <w:right w:val="none" w:sz="0" w:space="0" w:color="auto"/>
      </w:divBdr>
    </w:div>
    <w:div w:id="1854415438">
      <w:bodyDiv w:val="1"/>
      <w:marLeft w:val="0"/>
      <w:marRight w:val="0"/>
      <w:marTop w:val="0"/>
      <w:marBottom w:val="0"/>
      <w:divBdr>
        <w:top w:val="none" w:sz="0" w:space="0" w:color="auto"/>
        <w:left w:val="none" w:sz="0" w:space="0" w:color="auto"/>
        <w:bottom w:val="none" w:sz="0" w:space="0" w:color="auto"/>
        <w:right w:val="none" w:sz="0" w:space="0" w:color="auto"/>
      </w:divBdr>
    </w:div>
    <w:div w:id="2019771052">
      <w:bodyDiv w:val="1"/>
      <w:marLeft w:val="0"/>
      <w:marRight w:val="0"/>
      <w:marTop w:val="0"/>
      <w:marBottom w:val="0"/>
      <w:divBdr>
        <w:top w:val="none" w:sz="0" w:space="0" w:color="auto"/>
        <w:left w:val="none" w:sz="0" w:space="0" w:color="auto"/>
        <w:bottom w:val="none" w:sz="0" w:space="0" w:color="auto"/>
        <w:right w:val="none" w:sz="0" w:space="0" w:color="auto"/>
      </w:divBdr>
    </w:div>
    <w:div w:id="208537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ts.gov/freight-indicators" TargetMode="External"/><Relationship Id="rId18" Type="http://schemas.openxmlformats.org/officeDocument/2006/relationships/chart" Target="charts/chart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hart" Target="charts/chart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chart" Target="charts/chart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ops.fhwa.dot.gov/publications/fhwahop16057/index.ht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usdot-my.sharepoint.com/personal/nubia_delcarpio_ctr_ad_dot_gov/Documents/3.%20Port%20Performance/PPFS%20Ch.%203%20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sdot-my.sharepoint.com/personal/nubia_delcarpio_ctr_ad_dot_gov/Documents/3.%20Port%20Performance/PPFS%20Ch.%203%20graph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'2025 Fig 3-1'!$T$2</c:f>
              <c:strCache>
                <c:ptCount val="1"/>
                <c:pt idx="0">
                  <c:v> TEU </c:v>
                </c:pt>
              </c:strCache>
            </c:strRef>
          </c:tx>
          <c:spPr>
            <a:solidFill>
              <a:schemeClr val="accent1"/>
            </a:solidFill>
            <a:ln>
              <a:noFill/>
            </a:ln>
            <a:effectLst/>
          </c:spPr>
          <c:invertIfNegative val="0"/>
          <c:cat>
            <c:numRef>
              <c:f>'2025 Fig 3-1'!$S$3:$S$11</c:f>
              <c:numCache>
                <c:formatCode>mmm\-yy</c:formatCode>
                <c:ptCount val="9"/>
                <c:pt idx="0">
                  <c:v>45658</c:v>
                </c:pt>
                <c:pt idx="1">
                  <c:v>45689</c:v>
                </c:pt>
                <c:pt idx="2">
                  <c:v>45717</c:v>
                </c:pt>
                <c:pt idx="3">
                  <c:v>45748</c:v>
                </c:pt>
                <c:pt idx="4">
                  <c:v>45778</c:v>
                </c:pt>
                <c:pt idx="5">
                  <c:v>45809</c:v>
                </c:pt>
                <c:pt idx="6">
                  <c:v>45839</c:v>
                </c:pt>
                <c:pt idx="7">
                  <c:v>45870</c:v>
                </c:pt>
                <c:pt idx="8">
                  <c:v>45901</c:v>
                </c:pt>
              </c:numCache>
            </c:numRef>
          </c:cat>
          <c:val>
            <c:numRef>
              <c:f>'2025 Fig 3-1'!$T$3:$T$11</c:f>
              <c:numCache>
                <c:formatCode>_(* #,##0_);_(* \(#,##0\);_(* "-"??_);_(@_)</c:formatCode>
                <c:ptCount val="9"/>
                <c:pt idx="0">
                  <c:v>8574844.1428571437</c:v>
                </c:pt>
                <c:pt idx="1">
                  <c:v>8324953.9999999991</c:v>
                </c:pt>
                <c:pt idx="2">
                  <c:v>9489305.8571428563</c:v>
                </c:pt>
                <c:pt idx="3">
                  <c:v>9368719</c:v>
                </c:pt>
                <c:pt idx="4">
                  <c:v>9785960.7142857146</c:v>
                </c:pt>
                <c:pt idx="5">
                  <c:v>8754714</c:v>
                </c:pt>
                <c:pt idx="6">
                  <c:v>9878391</c:v>
                </c:pt>
                <c:pt idx="7">
                  <c:v>9850423</c:v>
                </c:pt>
                <c:pt idx="8">
                  <c:v>8722597</c:v>
                </c:pt>
              </c:numCache>
            </c:numRef>
          </c:val>
          <c:extLst>
            <c:ext xmlns:c16="http://schemas.microsoft.com/office/drawing/2014/chart" uri="{C3380CC4-5D6E-409C-BE32-E72D297353CC}">
              <c16:uniqueId val="{00000000-ACA0-4EE0-9DD6-8052680B895B}"/>
            </c:ext>
          </c:extLst>
        </c:ser>
        <c:dLbls>
          <c:showLegendKey val="0"/>
          <c:showVal val="0"/>
          <c:showCatName val="0"/>
          <c:showSerName val="0"/>
          <c:showPercent val="0"/>
          <c:showBubbleSize val="0"/>
        </c:dLbls>
        <c:gapWidth val="219"/>
        <c:overlap val="-27"/>
        <c:axId val="1103079720"/>
        <c:axId val="1103080440"/>
      </c:barChart>
      <c:dateAx>
        <c:axId val="1103079720"/>
        <c:scaling>
          <c:orientation val="minMax"/>
        </c:scaling>
        <c:delete val="0"/>
        <c:axPos val="b"/>
        <c:title>
          <c:tx>
            <c:rich>
              <a:bodyPr rot="0" spcFirstLastPara="1" vertOverflow="ellipsis" vert="horz" wrap="square" anchor="ctr" anchorCtr="1"/>
              <a:lstStyle/>
              <a:p>
                <a:pPr>
                  <a:defRPr sz="1100" b="0" i="0" u="none" strike="noStrike" kern="1200" baseline="0">
                    <a:solidFill>
                      <a:sysClr val="windowText" lastClr="000000"/>
                    </a:solidFill>
                    <a:latin typeface="+mn-lt"/>
                    <a:ea typeface="+mn-ea"/>
                    <a:cs typeface="+mn-cs"/>
                  </a:defRPr>
                </a:pPr>
                <a:r>
                  <a:rPr lang="en-US" sz="1200">
                    <a:solidFill>
                      <a:sysClr val="windowText" lastClr="000000"/>
                    </a:solidFill>
                  </a:rPr>
                  <a:t>Date</a:t>
                </a:r>
              </a:p>
            </c:rich>
          </c:tx>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mn-lt"/>
                  <a:ea typeface="+mn-ea"/>
                  <a:cs typeface="+mn-cs"/>
                </a:defRPr>
              </a:pPr>
              <a:endParaRPr lang="en-US"/>
            </a:p>
          </c:txPr>
        </c:title>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mn-lt"/>
                <a:ea typeface="+mn-ea"/>
                <a:cs typeface="+mn-cs"/>
              </a:defRPr>
            </a:pPr>
            <a:endParaRPr lang="en-US"/>
          </a:p>
        </c:txPr>
        <c:crossAx val="1103080440"/>
        <c:crosses val="autoZero"/>
        <c:auto val="1"/>
        <c:lblOffset val="100"/>
        <c:baseTimeUnit val="months"/>
      </c:dateAx>
      <c:valAx>
        <c:axId val="1103080440"/>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103079720"/>
        <c:crosses val="autoZero"/>
        <c:crossBetween val="between"/>
        <c:minorUnit val="50000"/>
        <c:dispUnits>
          <c:builtInUnit val="millions"/>
          <c:dispUnitsLbl>
            <c:layout>
              <c:manualLayout>
                <c:xMode val="edge"/>
                <c:yMode val="edge"/>
                <c:x val="2.2715969821231516E-2"/>
                <c:y val="0.27813653654699144"/>
              </c:manualLayout>
            </c:layout>
            <c:tx>
              <c:rich>
                <a:bodyPr rot="-5400000" spcFirstLastPara="1" vertOverflow="ellipsis" vert="horz" wrap="square" anchor="ctr" anchorCtr="1"/>
                <a:lstStyle/>
                <a:p>
                  <a:pPr>
                    <a:defRPr sz="1200" b="0" i="0" u="none" strike="noStrike" kern="1200" baseline="0">
                      <a:solidFill>
                        <a:sysClr val="windowText" lastClr="000000"/>
                      </a:solidFill>
                      <a:latin typeface="+mn-lt"/>
                      <a:ea typeface="+mn-ea"/>
                      <a:cs typeface="+mn-cs"/>
                    </a:defRPr>
                  </a:pPr>
                  <a:r>
                    <a:rPr lang="en-US" sz="1200" b="0">
                      <a:solidFill>
                        <a:sysClr val="windowText" lastClr="000000"/>
                      </a:solidFill>
                    </a:rPr>
                    <a:t>TEU Capacity in Millions</a:t>
                  </a:r>
                </a:p>
              </c:rich>
            </c:tx>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mn-lt"/>
                    <a:ea typeface="+mn-ea"/>
                    <a:cs typeface="+mn-cs"/>
                  </a:defRPr>
                </a:pPr>
                <a:endParaRPr lang="en-US"/>
              </a:p>
            </c:txPr>
          </c:dispUnitsLbl>
        </c:dispUnits>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'2025 Fig 3-2'!$A$3</c:f>
              <c:strCache>
                <c:ptCount val="1"/>
                <c:pt idx="0">
                  <c:v>Pacific Coast</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'2025 Fig 3-2'!$B$2:$BB$2</c:f>
              <c:numCache>
                <c:formatCode>m/d/yyyy</c:formatCode>
                <c:ptCount val="53"/>
                <c:pt idx="0">
                  <c:v>45559</c:v>
                </c:pt>
                <c:pt idx="1">
                  <c:v>45566</c:v>
                </c:pt>
                <c:pt idx="2">
                  <c:v>45573</c:v>
                </c:pt>
                <c:pt idx="3">
                  <c:v>45580</c:v>
                </c:pt>
                <c:pt idx="4">
                  <c:v>45587</c:v>
                </c:pt>
                <c:pt idx="5">
                  <c:v>45596</c:v>
                </c:pt>
                <c:pt idx="6">
                  <c:v>45601</c:v>
                </c:pt>
                <c:pt idx="7">
                  <c:v>45608</c:v>
                </c:pt>
                <c:pt idx="8">
                  <c:v>45615</c:v>
                </c:pt>
                <c:pt idx="9">
                  <c:v>45622</c:v>
                </c:pt>
                <c:pt idx="10">
                  <c:v>45629</c:v>
                </c:pt>
                <c:pt idx="11">
                  <c:v>45636</c:v>
                </c:pt>
                <c:pt idx="12">
                  <c:v>45643</c:v>
                </c:pt>
                <c:pt idx="13">
                  <c:v>45657</c:v>
                </c:pt>
                <c:pt idx="14">
                  <c:v>45664</c:v>
                </c:pt>
                <c:pt idx="15">
                  <c:v>45671</c:v>
                </c:pt>
                <c:pt idx="16">
                  <c:v>45678</c:v>
                </c:pt>
                <c:pt idx="17">
                  <c:v>45685</c:v>
                </c:pt>
                <c:pt idx="18">
                  <c:v>45692</c:v>
                </c:pt>
                <c:pt idx="19">
                  <c:v>45699</c:v>
                </c:pt>
                <c:pt idx="20">
                  <c:v>45706</c:v>
                </c:pt>
                <c:pt idx="21">
                  <c:v>45713</c:v>
                </c:pt>
                <c:pt idx="22">
                  <c:v>45720</c:v>
                </c:pt>
                <c:pt idx="23">
                  <c:v>45727</c:v>
                </c:pt>
                <c:pt idx="24">
                  <c:v>45734</c:v>
                </c:pt>
                <c:pt idx="25">
                  <c:v>45741</c:v>
                </c:pt>
                <c:pt idx="26">
                  <c:v>45748</c:v>
                </c:pt>
                <c:pt idx="27">
                  <c:v>45755</c:v>
                </c:pt>
                <c:pt idx="28">
                  <c:v>45762</c:v>
                </c:pt>
                <c:pt idx="29">
                  <c:v>45769</c:v>
                </c:pt>
                <c:pt idx="30">
                  <c:v>45776</c:v>
                </c:pt>
                <c:pt idx="31">
                  <c:v>45783</c:v>
                </c:pt>
                <c:pt idx="32">
                  <c:v>45790</c:v>
                </c:pt>
                <c:pt idx="33">
                  <c:v>45797</c:v>
                </c:pt>
                <c:pt idx="34">
                  <c:v>45804</c:v>
                </c:pt>
                <c:pt idx="35">
                  <c:v>45811</c:v>
                </c:pt>
                <c:pt idx="36">
                  <c:v>45818</c:v>
                </c:pt>
                <c:pt idx="37">
                  <c:v>45825</c:v>
                </c:pt>
                <c:pt idx="38">
                  <c:v>45832</c:v>
                </c:pt>
                <c:pt idx="39">
                  <c:v>45839</c:v>
                </c:pt>
                <c:pt idx="40">
                  <c:v>45846</c:v>
                </c:pt>
                <c:pt idx="41">
                  <c:v>45853</c:v>
                </c:pt>
                <c:pt idx="42">
                  <c:v>45860</c:v>
                </c:pt>
                <c:pt idx="43">
                  <c:v>45867</c:v>
                </c:pt>
                <c:pt idx="44">
                  <c:v>45874</c:v>
                </c:pt>
                <c:pt idx="45">
                  <c:v>45881</c:v>
                </c:pt>
                <c:pt idx="46">
                  <c:v>45888</c:v>
                </c:pt>
                <c:pt idx="47">
                  <c:v>45895</c:v>
                </c:pt>
                <c:pt idx="48">
                  <c:v>45902</c:v>
                </c:pt>
                <c:pt idx="49">
                  <c:v>45909</c:v>
                </c:pt>
                <c:pt idx="50">
                  <c:v>45916</c:v>
                </c:pt>
                <c:pt idx="51">
                  <c:v>45923</c:v>
                </c:pt>
                <c:pt idx="52">
                  <c:v>45930</c:v>
                </c:pt>
              </c:numCache>
            </c:numRef>
          </c:cat>
          <c:val>
            <c:numRef>
              <c:f>'2025 Fig 3-2'!$B$3:$BB$3</c:f>
              <c:numCache>
                <c:formatCode>#,##0.00</c:formatCode>
                <c:ptCount val="53"/>
                <c:pt idx="0">
                  <c:v>2</c:v>
                </c:pt>
                <c:pt idx="1">
                  <c:v>5</c:v>
                </c:pt>
                <c:pt idx="2">
                  <c:v>3</c:v>
                </c:pt>
                <c:pt idx="3">
                  <c:v>2</c:v>
                </c:pt>
                <c:pt idx="4">
                  <c:v>2</c:v>
                </c:pt>
                <c:pt idx="5">
                  <c:v>3</c:v>
                </c:pt>
                <c:pt idx="6">
                  <c:v>2</c:v>
                </c:pt>
                <c:pt idx="7">
                  <c:v>2</c:v>
                </c:pt>
                <c:pt idx="8">
                  <c:v>3</c:v>
                </c:pt>
                <c:pt idx="9">
                  <c:v>0</c:v>
                </c:pt>
                <c:pt idx="10">
                  <c:v>2</c:v>
                </c:pt>
                <c:pt idx="11">
                  <c:v>1</c:v>
                </c:pt>
                <c:pt idx="12">
                  <c:v>2</c:v>
                </c:pt>
                <c:pt idx="13">
                  <c:v>3</c:v>
                </c:pt>
                <c:pt idx="14">
                  <c:v>5</c:v>
                </c:pt>
                <c:pt idx="15">
                  <c:v>7</c:v>
                </c:pt>
                <c:pt idx="16">
                  <c:v>5</c:v>
                </c:pt>
                <c:pt idx="17">
                  <c:v>4</c:v>
                </c:pt>
                <c:pt idx="18">
                  <c:v>5</c:v>
                </c:pt>
                <c:pt idx="19">
                  <c:v>3</c:v>
                </c:pt>
                <c:pt idx="20">
                  <c:v>3</c:v>
                </c:pt>
                <c:pt idx="21">
                  <c:v>4</c:v>
                </c:pt>
                <c:pt idx="22">
                  <c:v>1</c:v>
                </c:pt>
                <c:pt idx="23">
                  <c:v>0</c:v>
                </c:pt>
                <c:pt idx="24">
                  <c:v>1</c:v>
                </c:pt>
                <c:pt idx="25">
                  <c:v>1</c:v>
                </c:pt>
                <c:pt idx="26">
                  <c:v>1</c:v>
                </c:pt>
                <c:pt idx="27">
                  <c:v>0</c:v>
                </c:pt>
                <c:pt idx="28">
                  <c:v>3</c:v>
                </c:pt>
                <c:pt idx="29">
                  <c:v>2</c:v>
                </c:pt>
                <c:pt idx="30">
                  <c:v>1</c:v>
                </c:pt>
                <c:pt idx="31">
                  <c:v>0</c:v>
                </c:pt>
                <c:pt idx="32">
                  <c:v>1</c:v>
                </c:pt>
                <c:pt idx="33">
                  <c:v>1</c:v>
                </c:pt>
                <c:pt idx="34">
                  <c:v>3</c:v>
                </c:pt>
                <c:pt idx="35">
                  <c:v>2</c:v>
                </c:pt>
                <c:pt idx="36">
                  <c:v>1</c:v>
                </c:pt>
                <c:pt idx="37">
                  <c:v>2</c:v>
                </c:pt>
                <c:pt idx="38">
                  <c:v>1</c:v>
                </c:pt>
                <c:pt idx="39">
                  <c:v>1</c:v>
                </c:pt>
                <c:pt idx="40">
                  <c:v>2</c:v>
                </c:pt>
                <c:pt idx="41">
                  <c:v>1</c:v>
                </c:pt>
                <c:pt idx="42">
                  <c:v>1</c:v>
                </c:pt>
                <c:pt idx="43">
                  <c:v>1</c:v>
                </c:pt>
                <c:pt idx="44">
                  <c:v>2</c:v>
                </c:pt>
                <c:pt idx="45">
                  <c:v>1</c:v>
                </c:pt>
                <c:pt idx="46">
                  <c:v>3</c:v>
                </c:pt>
                <c:pt idx="47">
                  <c:v>2</c:v>
                </c:pt>
                <c:pt idx="48">
                  <c:v>0</c:v>
                </c:pt>
                <c:pt idx="49">
                  <c:v>0</c:v>
                </c:pt>
                <c:pt idx="50">
                  <c:v>1</c:v>
                </c:pt>
                <c:pt idx="51">
                  <c:v>2</c:v>
                </c:pt>
                <c:pt idx="52">
                  <c:v>1</c:v>
                </c:pt>
              </c:numCache>
            </c:numRef>
          </c:val>
          <c:smooth val="0"/>
          <c:extLst>
            <c:ext xmlns:c16="http://schemas.microsoft.com/office/drawing/2014/chart" uri="{C3380CC4-5D6E-409C-BE32-E72D297353CC}">
              <c16:uniqueId val="{00000000-7127-4621-A73F-F9DB16546F66}"/>
            </c:ext>
          </c:extLst>
        </c:ser>
        <c:ser>
          <c:idx val="1"/>
          <c:order val="1"/>
          <c:tx>
            <c:strRef>
              <c:f>'2025 Fig 3-2'!$A$4</c:f>
              <c:strCache>
                <c:ptCount val="1"/>
                <c:pt idx="0">
                  <c:v>Atlantic Coast</c:v>
                </c:pt>
              </c:strCache>
            </c:strRef>
          </c:tx>
          <c:spPr>
            <a:ln w="28575" cap="rnd">
              <a:solidFill>
                <a:schemeClr val="accent2"/>
              </a:solidFill>
              <a:round/>
            </a:ln>
            <a:effectLst/>
          </c:spPr>
          <c:marker>
            <c:symbol val="diamond"/>
            <c:size val="5"/>
            <c:spPr>
              <a:solidFill>
                <a:schemeClr val="accent2"/>
              </a:solidFill>
              <a:ln w="9525">
                <a:solidFill>
                  <a:schemeClr val="accent2"/>
                </a:solidFill>
              </a:ln>
              <a:effectLst/>
            </c:spPr>
          </c:marker>
          <c:cat>
            <c:numRef>
              <c:f>'2025 Fig 3-2'!$B$2:$BB$2</c:f>
              <c:numCache>
                <c:formatCode>m/d/yyyy</c:formatCode>
                <c:ptCount val="53"/>
                <c:pt idx="0">
                  <c:v>45559</c:v>
                </c:pt>
                <c:pt idx="1">
                  <c:v>45566</c:v>
                </c:pt>
                <c:pt idx="2">
                  <c:v>45573</c:v>
                </c:pt>
                <c:pt idx="3">
                  <c:v>45580</c:v>
                </c:pt>
                <c:pt idx="4">
                  <c:v>45587</c:v>
                </c:pt>
                <c:pt idx="5">
                  <c:v>45596</c:v>
                </c:pt>
                <c:pt idx="6">
                  <c:v>45601</c:v>
                </c:pt>
                <c:pt idx="7">
                  <c:v>45608</c:v>
                </c:pt>
                <c:pt idx="8">
                  <c:v>45615</c:v>
                </c:pt>
                <c:pt idx="9">
                  <c:v>45622</c:v>
                </c:pt>
                <c:pt idx="10">
                  <c:v>45629</c:v>
                </c:pt>
                <c:pt idx="11">
                  <c:v>45636</c:v>
                </c:pt>
                <c:pt idx="12">
                  <c:v>45643</c:v>
                </c:pt>
                <c:pt idx="13">
                  <c:v>45657</c:v>
                </c:pt>
                <c:pt idx="14">
                  <c:v>45664</c:v>
                </c:pt>
                <c:pt idx="15">
                  <c:v>45671</c:v>
                </c:pt>
                <c:pt idx="16">
                  <c:v>45678</c:v>
                </c:pt>
                <c:pt idx="17">
                  <c:v>45685</c:v>
                </c:pt>
                <c:pt idx="18">
                  <c:v>45692</c:v>
                </c:pt>
                <c:pt idx="19">
                  <c:v>45699</c:v>
                </c:pt>
                <c:pt idx="20">
                  <c:v>45706</c:v>
                </c:pt>
                <c:pt idx="21">
                  <c:v>45713</c:v>
                </c:pt>
                <c:pt idx="22">
                  <c:v>45720</c:v>
                </c:pt>
                <c:pt idx="23">
                  <c:v>45727</c:v>
                </c:pt>
                <c:pt idx="24">
                  <c:v>45734</c:v>
                </c:pt>
                <c:pt idx="25">
                  <c:v>45741</c:v>
                </c:pt>
                <c:pt idx="26">
                  <c:v>45748</c:v>
                </c:pt>
                <c:pt idx="27">
                  <c:v>45755</c:v>
                </c:pt>
                <c:pt idx="28">
                  <c:v>45762</c:v>
                </c:pt>
                <c:pt idx="29">
                  <c:v>45769</c:v>
                </c:pt>
                <c:pt idx="30">
                  <c:v>45776</c:v>
                </c:pt>
                <c:pt idx="31">
                  <c:v>45783</c:v>
                </c:pt>
                <c:pt idx="32">
                  <c:v>45790</c:v>
                </c:pt>
                <c:pt idx="33">
                  <c:v>45797</c:v>
                </c:pt>
                <c:pt idx="34">
                  <c:v>45804</c:v>
                </c:pt>
                <c:pt idx="35">
                  <c:v>45811</c:v>
                </c:pt>
                <c:pt idx="36">
                  <c:v>45818</c:v>
                </c:pt>
                <c:pt idx="37">
                  <c:v>45825</c:v>
                </c:pt>
                <c:pt idx="38">
                  <c:v>45832</c:v>
                </c:pt>
                <c:pt idx="39">
                  <c:v>45839</c:v>
                </c:pt>
                <c:pt idx="40">
                  <c:v>45846</c:v>
                </c:pt>
                <c:pt idx="41">
                  <c:v>45853</c:v>
                </c:pt>
                <c:pt idx="42">
                  <c:v>45860</c:v>
                </c:pt>
                <c:pt idx="43">
                  <c:v>45867</c:v>
                </c:pt>
                <c:pt idx="44">
                  <c:v>45874</c:v>
                </c:pt>
                <c:pt idx="45">
                  <c:v>45881</c:v>
                </c:pt>
                <c:pt idx="46">
                  <c:v>45888</c:v>
                </c:pt>
                <c:pt idx="47">
                  <c:v>45895</c:v>
                </c:pt>
                <c:pt idx="48">
                  <c:v>45902</c:v>
                </c:pt>
                <c:pt idx="49">
                  <c:v>45909</c:v>
                </c:pt>
                <c:pt idx="50">
                  <c:v>45916</c:v>
                </c:pt>
                <c:pt idx="51">
                  <c:v>45923</c:v>
                </c:pt>
                <c:pt idx="52">
                  <c:v>45930</c:v>
                </c:pt>
              </c:numCache>
            </c:numRef>
          </c:cat>
          <c:val>
            <c:numRef>
              <c:f>'2025 Fig 3-2'!$B$4:$BB$4</c:f>
              <c:numCache>
                <c:formatCode>#,##0.00</c:formatCode>
                <c:ptCount val="53"/>
                <c:pt idx="0">
                  <c:v>15</c:v>
                </c:pt>
                <c:pt idx="1">
                  <c:v>24</c:v>
                </c:pt>
                <c:pt idx="2">
                  <c:v>13</c:v>
                </c:pt>
                <c:pt idx="3">
                  <c:v>19</c:v>
                </c:pt>
                <c:pt idx="4">
                  <c:v>19</c:v>
                </c:pt>
                <c:pt idx="5">
                  <c:v>16</c:v>
                </c:pt>
                <c:pt idx="6">
                  <c:v>24</c:v>
                </c:pt>
                <c:pt idx="7">
                  <c:v>19</c:v>
                </c:pt>
                <c:pt idx="8">
                  <c:v>16</c:v>
                </c:pt>
                <c:pt idx="9">
                  <c:v>16</c:v>
                </c:pt>
                <c:pt idx="10">
                  <c:v>11</c:v>
                </c:pt>
                <c:pt idx="11">
                  <c:v>10</c:v>
                </c:pt>
                <c:pt idx="12">
                  <c:v>9</c:v>
                </c:pt>
                <c:pt idx="13">
                  <c:v>16</c:v>
                </c:pt>
                <c:pt idx="14">
                  <c:v>11</c:v>
                </c:pt>
                <c:pt idx="15">
                  <c:v>12</c:v>
                </c:pt>
                <c:pt idx="16">
                  <c:v>14</c:v>
                </c:pt>
                <c:pt idx="17">
                  <c:v>28</c:v>
                </c:pt>
                <c:pt idx="18">
                  <c:v>26</c:v>
                </c:pt>
                <c:pt idx="19">
                  <c:v>30</c:v>
                </c:pt>
                <c:pt idx="20">
                  <c:v>30</c:v>
                </c:pt>
                <c:pt idx="21">
                  <c:v>26</c:v>
                </c:pt>
                <c:pt idx="22">
                  <c:v>14</c:v>
                </c:pt>
                <c:pt idx="23">
                  <c:v>18</c:v>
                </c:pt>
                <c:pt idx="24">
                  <c:v>14</c:v>
                </c:pt>
                <c:pt idx="25">
                  <c:v>22</c:v>
                </c:pt>
                <c:pt idx="26">
                  <c:v>17</c:v>
                </c:pt>
                <c:pt idx="27">
                  <c:v>8</c:v>
                </c:pt>
                <c:pt idx="28">
                  <c:v>7</c:v>
                </c:pt>
                <c:pt idx="29">
                  <c:v>9</c:v>
                </c:pt>
                <c:pt idx="30">
                  <c:v>6</c:v>
                </c:pt>
                <c:pt idx="31">
                  <c:v>8</c:v>
                </c:pt>
                <c:pt idx="32">
                  <c:v>2</c:v>
                </c:pt>
                <c:pt idx="33">
                  <c:v>3</c:v>
                </c:pt>
                <c:pt idx="34">
                  <c:v>5</c:v>
                </c:pt>
                <c:pt idx="35">
                  <c:v>6</c:v>
                </c:pt>
                <c:pt idx="36">
                  <c:v>3</c:v>
                </c:pt>
                <c:pt idx="37">
                  <c:v>3</c:v>
                </c:pt>
                <c:pt idx="38">
                  <c:v>3</c:v>
                </c:pt>
                <c:pt idx="39">
                  <c:v>8</c:v>
                </c:pt>
                <c:pt idx="40">
                  <c:v>5</c:v>
                </c:pt>
                <c:pt idx="41">
                  <c:v>8</c:v>
                </c:pt>
                <c:pt idx="42">
                  <c:v>7</c:v>
                </c:pt>
                <c:pt idx="43">
                  <c:v>6</c:v>
                </c:pt>
                <c:pt idx="44">
                  <c:v>12</c:v>
                </c:pt>
                <c:pt idx="45">
                  <c:v>10</c:v>
                </c:pt>
                <c:pt idx="46">
                  <c:v>5</c:v>
                </c:pt>
                <c:pt idx="47">
                  <c:v>12</c:v>
                </c:pt>
                <c:pt idx="48">
                  <c:v>20</c:v>
                </c:pt>
                <c:pt idx="49">
                  <c:v>8</c:v>
                </c:pt>
                <c:pt idx="50">
                  <c:v>2</c:v>
                </c:pt>
                <c:pt idx="51">
                  <c:v>9</c:v>
                </c:pt>
                <c:pt idx="52">
                  <c:v>6</c:v>
                </c:pt>
              </c:numCache>
            </c:numRef>
          </c:val>
          <c:smooth val="0"/>
          <c:extLst>
            <c:ext xmlns:c16="http://schemas.microsoft.com/office/drawing/2014/chart" uri="{C3380CC4-5D6E-409C-BE32-E72D297353CC}">
              <c16:uniqueId val="{00000001-7127-4621-A73F-F9DB16546F66}"/>
            </c:ext>
          </c:extLst>
        </c:ser>
        <c:ser>
          <c:idx val="2"/>
          <c:order val="2"/>
          <c:tx>
            <c:strRef>
              <c:f>'2025 Fig 3-2'!$A$5</c:f>
              <c:strCache>
                <c:ptCount val="1"/>
                <c:pt idx="0">
                  <c:v>Gulf Coast </c:v>
                </c:pt>
              </c:strCache>
            </c:strRef>
          </c:tx>
          <c:spPr>
            <a:ln w="28575" cap="rnd">
              <a:solidFill>
                <a:schemeClr val="accent3"/>
              </a:solidFill>
              <a:round/>
            </a:ln>
            <a:effectLst/>
          </c:spPr>
          <c:marker>
            <c:symbol val="x"/>
            <c:size val="5"/>
            <c:spPr>
              <a:noFill/>
              <a:ln w="9525">
                <a:solidFill>
                  <a:schemeClr val="accent3"/>
                </a:solidFill>
              </a:ln>
              <a:effectLst/>
            </c:spPr>
          </c:marker>
          <c:cat>
            <c:numRef>
              <c:f>'2025 Fig 3-2'!$B$2:$BB$2</c:f>
              <c:numCache>
                <c:formatCode>m/d/yyyy</c:formatCode>
                <c:ptCount val="53"/>
                <c:pt idx="0">
                  <c:v>45559</c:v>
                </c:pt>
                <c:pt idx="1">
                  <c:v>45566</c:v>
                </c:pt>
                <c:pt idx="2">
                  <c:v>45573</c:v>
                </c:pt>
                <c:pt idx="3">
                  <c:v>45580</c:v>
                </c:pt>
                <c:pt idx="4">
                  <c:v>45587</c:v>
                </c:pt>
                <c:pt idx="5">
                  <c:v>45596</c:v>
                </c:pt>
                <c:pt idx="6">
                  <c:v>45601</c:v>
                </c:pt>
                <c:pt idx="7">
                  <c:v>45608</c:v>
                </c:pt>
                <c:pt idx="8">
                  <c:v>45615</c:v>
                </c:pt>
                <c:pt idx="9">
                  <c:v>45622</c:v>
                </c:pt>
                <c:pt idx="10">
                  <c:v>45629</c:v>
                </c:pt>
                <c:pt idx="11">
                  <c:v>45636</c:v>
                </c:pt>
                <c:pt idx="12">
                  <c:v>45643</c:v>
                </c:pt>
                <c:pt idx="13">
                  <c:v>45657</c:v>
                </c:pt>
                <c:pt idx="14">
                  <c:v>45664</c:v>
                </c:pt>
                <c:pt idx="15">
                  <c:v>45671</c:v>
                </c:pt>
                <c:pt idx="16">
                  <c:v>45678</c:v>
                </c:pt>
                <c:pt idx="17">
                  <c:v>45685</c:v>
                </c:pt>
                <c:pt idx="18">
                  <c:v>45692</c:v>
                </c:pt>
                <c:pt idx="19">
                  <c:v>45699</c:v>
                </c:pt>
                <c:pt idx="20">
                  <c:v>45706</c:v>
                </c:pt>
                <c:pt idx="21">
                  <c:v>45713</c:v>
                </c:pt>
                <c:pt idx="22">
                  <c:v>45720</c:v>
                </c:pt>
                <c:pt idx="23">
                  <c:v>45727</c:v>
                </c:pt>
                <c:pt idx="24">
                  <c:v>45734</c:v>
                </c:pt>
                <c:pt idx="25">
                  <c:v>45741</c:v>
                </c:pt>
                <c:pt idx="26">
                  <c:v>45748</c:v>
                </c:pt>
                <c:pt idx="27">
                  <c:v>45755</c:v>
                </c:pt>
                <c:pt idx="28">
                  <c:v>45762</c:v>
                </c:pt>
                <c:pt idx="29">
                  <c:v>45769</c:v>
                </c:pt>
                <c:pt idx="30">
                  <c:v>45776</c:v>
                </c:pt>
                <c:pt idx="31">
                  <c:v>45783</c:v>
                </c:pt>
                <c:pt idx="32">
                  <c:v>45790</c:v>
                </c:pt>
                <c:pt idx="33">
                  <c:v>45797</c:v>
                </c:pt>
                <c:pt idx="34">
                  <c:v>45804</c:v>
                </c:pt>
                <c:pt idx="35">
                  <c:v>45811</c:v>
                </c:pt>
                <c:pt idx="36">
                  <c:v>45818</c:v>
                </c:pt>
                <c:pt idx="37">
                  <c:v>45825</c:v>
                </c:pt>
                <c:pt idx="38">
                  <c:v>45832</c:v>
                </c:pt>
                <c:pt idx="39">
                  <c:v>45839</c:v>
                </c:pt>
                <c:pt idx="40">
                  <c:v>45846</c:v>
                </c:pt>
                <c:pt idx="41">
                  <c:v>45853</c:v>
                </c:pt>
                <c:pt idx="42">
                  <c:v>45860</c:v>
                </c:pt>
                <c:pt idx="43">
                  <c:v>45867</c:v>
                </c:pt>
                <c:pt idx="44">
                  <c:v>45874</c:v>
                </c:pt>
                <c:pt idx="45">
                  <c:v>45881</c:v>
                </c:pt>
                <c:pt idx="46">
                  <c:v>45888</c:v>
                </c:pt>
                <c:pt idx="47">
                  <c:v>45895</c:v>
                </c:pt>
                <c:pt idx="48">
                  <c:v>45902</c:v>
                </c:pt>
                <c:pt idx="49">
                  <c:v>45909</c:v>
                </c:pt>
                <c:pt idx="50">
                  <c:v>45916</c:v>
                </c:pt>
                <c:pt idx="51">
                  <c:v>45923</c:v>
                </c:pt>
                <c:pt idx="52">
                  <c:v>45930</c:v>
                </c:pt>
              </c:numCache>
            </c:numRef>
          </c:cat>
          <c:val>
            <c:numRef>
              <c:f>'2025 Fig 3-2'!$B$5:$BB$5</c:f>
              <c:numCache>
                <c:formatCode>#,##0.00</c:formatCode>
                <c:ptCount val="53"/>
                <c:pt idx="0">
                  <c:v>2</c:v>
                </c:pt>
                <c:pt idx="1">
                  <c:v>2</c:v>
                </c:pt>
                <c:pt idx="2">
                  <c:v>2</c:v>
                </c:pt>
                <c:pt idx="3">
                  <c:v>3</c:v>
                </c:pt>
                <c:pt idx="4">
                  <c:v>2</c:v>
                </c:pt>
                <c:pt idx="5">
                  <c:v>4</c:v>
                </c:pt>
                <c:pt idx="6">
                  <c:v>1</c:v>
                </c:pt>
                <c:pt idx="7">
                  <c:v>3</c:v>
                </c:pt>
                <c:pt idx="8">
                  <c:v>0</c:v>
                </c:pt>
                <c:pt idx="9">
                  <c:v>2</c:v>
                </c:pt>
                <c:pt idx="10">
                  <c:v>1</c:v>
                </c:pt>
                <c:pt idx="11">
                  <c:v>1</c:v>
                </c:pt>
                <c:pt idx="12">
                  <c:v>2</c:v>
                </c:pt>
                <c:pt idx="13">
                  <c:v>4</c:v>
                </c:pt>
                <c:pt idx="14">
                  <c:v>3</c:v>
                </c:pt>
                <c:pt idx="15">
                  <c:v>1</c:v>
                </c:pt>
                <c:pt idx="16">
                  <c:v>2</c:v>
                </c:pt>
                <c:pt idx="17">
                  <c:v>3</c:v>
                </c:pt>
                <c:pt idx="18">
                  <c:v>5</c:v>
                </c:pt>
                <c:pt idx="19">
                  <c:v>9</c:v>
                </c:pt>
                <c:pt idx="20">
                  <c:v>4</c:v>
                </c:pt>
                <c:pt idx="21">
                  <c:v>4</c:v>
                </c:pt>
                <c:pt idx="22">
                  <c:v>2</c:v>
                </c:pt>
                <c:pt idx="23">
                  <c:v>5</c:v>
                </c:pt>
                <c:pt idx="24">
                  <c:v>1</c:v>
                </c:pt>
                <c:pt idx="25">
                  <c:v>2</c:v>
                </c:pt>
                <c:pt idx="26">
                  <c:v>5</c:v>
                </c:pt>
                <c:pt idx="27">
                  <c:v>1</c:v>
                </c:pt>
                <c:pt idx="28">
                  <c:v>2</c:v>
                </c:pt>
                <c:pt idx="29">
                  <c:v>4</c:v>
                </c:pt>
                <c:pt idx="30">
                  <c:v>0</c:v>
                </c:pt>
                <c:pt idx="31">
                  <c:v>0</c:v>
                </c:pt>
                <c:pt idx="32">
                  <c:v>1</c:v>
                </c:pt>
                <c:pt idx="33">
                  <c:v>3</c:v>
                </c:pt>
                <c:pt idx="34">
                  <c:v>2</c:v>
                </c:pt>
                <c:pt idx="35">
                  <c:v>1</c:v>
                </c:pt>
                <c:pt idx="36">
                  <c:v>0</c:v>
                </c:pt>
                <c:pt idx="37">
                  <c:v>2</c:v>
                </c:pt>
                <c:pt idx="38">
                  <c:v>0</c:v>
                </c:pt>
                <c:pt idx="39">
                  <c:v>5</c:v>
                </c:pt>
                <c:pt idx="40">
                  <c:v>2</c:v>
                </c:pt>
                <c:pt idx="41">
                  <c:v>5</c:v>
                </c:pt>
                <c:pt idx="42">
                  <c:v>4</c:v>
                </c:pt>
                <c:pt idx="43">
                  <c:v>0</c:v>
                </c:pt>
                <c:pt idx="44">
                  <c:v>0</c:v>
                </c:pt>
                <c:pt idx="45">
                  <c:v>1</c:v>
                </c:pt>
                <c:pt idx="46">
                  <c:v>1</c:v>
                </c:pt>
                <c:pt idx="47">
                  <c:v>1</c:v>
                </c:pt>
                <c:pt idx="48">
                  <c:v>2</c:v>
                </c:pt>
                <c:pt idx="49">
                  <c:v>2</c:v>
                </c:pt>
                <c:pt idx="50">
                  <c:v>1</c:v>
                </c:pt>
                <c:pt idx="51">
                  <c:v>1</c:v>
                </c:pt>
                <c:pt idx="52">
                  <c:v>2</c:v>
                </c:pt>
              </c:numCache>
            </c:numRef>
          </c:val>
          <c:smooth val="0"/>
          <c:extLst>
            <c:ext xmlns:c16="http://schemas.microsoft.com/office/drawing/2014/chart" uri="{C3380CC4-5D6E-409C-BE32-E72D297353CC}">
              <c16:uniqueId val="{00000002-7127-4621-A73F-F9DB16546F66}"/>
            </c:ext>
          </c:extLst>
        </c:ser>
        <c:dLbls>
          <c:showLegendKey val="0"/>
          <c:showVal val="0"/>
          <c:showCatName val="0"/>
          <c:showSerName val="0"/>
          <c:showPercent val="0"/>
          <c:showBubbleSize val="0"/>
        </c:dLbls>
        <c:marker val="1"/>
        <c:smooth val="0"/>
        <c:axId val="664263128"/>
        <c:axId val="664263488"/>
      </c:lineChart>
      <c:dateAx>
        <c:axId val="664263128"/>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4263488"/>
        <c:crosses val="autoZero"/>
        <c:auto val="1"/>
        <c:lblOffset val="100"/>
        <c:baseTimeUnit val="days"/>
      </c:dateAx>
      <c:valAx>
        <c:axId val="664263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vessels</a:t>
                </a:r>
                <a:r>
                  <a:rPr lang="en-US" baseline="0"/>
                  <a:t> waiting to dock</a:t>
                </a:r>
                <a:endParaRPr lang="en-US"/>
              </a:p>
            </c:rich>
          </c:tx>
          <c:layout>
            <c:manualLayout>
              <c:xMode val="edge"/>
              <c:yMode val="edge"/>
              <c:x val="2.0865941375648657E-2"/>
              <c:y val="0.1653056167979002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4263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Maintained Channel Depth (feet)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Sheet1!$A$2:$A$26</c:f>
              <c:strCache>
                <c:ptCount val="25"/>
                <c:pt idx="0">
                  <c:v>Port of Alaska, AK</c:v>
                </c:pt>
                <c:pt idx="1">
                  <c:v>Oxnard Harbor District, CA</c:v>
                </c:pt>
                <c:pt idx="2">
                  <c:v>Wilmington, NC</c:v>
                </c:pt>
                <c:pt idx="3">
                  <c:v>Port Everglades, FL</c:v>
                </c:pt>
                <c:pt idx="4">
                  <c:v>San Juan, PR</c:v>
                </c:pt>
                <c:pt idx="5">
                  <c:v>Wilmington, DE</c:v>
                </c:pt>
                <c:pt idx="6">
                  <c:v>South Jersey Port Corp, NJ</c:v>
                </c:pt>
                <c:pt idx="7">
                  <c:v>Philadelphia Regional Port, PA</c:v>
                </c:pt>
                <c:pt idx="8">
                  <c:v>Honolulu, O'ahu, HI</c:v>
                </c:pt>
                <c:pt idx="9">
                  <c:v>Houston Port Authority, TX</c:v>
                </c:pt>
                <c:pt idx="10">
                  <c:v>Jacksonville, FL</c:v>
                </c:pt>
                <c:pt idx="11">
                  <c:v>Boston, MA</c:v>
                </c:pt>
                <c:pt idx="12">
                  <c:v>Virginia, VA, Port of</c:v>
                </c:pt>
                <c:pt idx="13">
                  <c:v>PortMiami, FL</c:v>
                </c:pt>
                <c:pt idx="14">
                  <c:v>Port of Oakland, CA</c:v>
                </c:pt>
                <c:pt idx="15">
                  <c:v>New York, NY &amp; NJ</c:v>
                </c:pt>
                <c:pt idx="16">
                  <c:v>New Orleans, LA</c:v>
                </c:pt>
                <c:pt idx="17">
                  <c:v>Mobile, AL</c:v>
                </c:pt>
                <c:pt idx="18">
                  <c:v>Baltimore, MD</c:v>
                </c:pt>
                <c:pt idx="19">
                  <c:v>Tacoma, WA</c:v>
                </c:pt>
                <c:pt idx="20">
                  <c:v>Seattle, WA</c:v>
                </c:pt>
                <c:pt idx="21">
                  <c:v>Port of Savannah, GA</c:v>
                </c:pt>
                <c:pt idx="22">
                  <c:v>Port of Charleston, SC</c:v>
                </c:pt>
                <c:pt idx="23">
                  <c:v>Port of Long Beach, CA</c:v>
                </c:pt>
                <c:pt idx="24">
                  <c:v>Port of Los Angeles, CA</c:v>
                </c:pt>
              </c:strCache>
            </c:strRef>
          </c:cat>
          <c:val>
            <c:numRef>
              <c:f>Sheet1!$B$2:$B$26</c:f>
              <c:numCache>
                <c:formatCode>General</c:formatCode>
                <c:ptCount val="25"/>
                <c:pt idx="0">
                  <c:v>35</c:v>
                </c:pt>
                <c:pt idx="1">
                  <c:v>40</c:v>
                </c:pt>
                <c:pt idx="2">
                  <c:v>42</c:v>
                </c:pt>
                <c:pt idx="3">
                  <c:v>42</c:v>
                </c:pt>
                <c:pt idx="4">
                  <c:v>44</c:v>
                </c:pt>
                <c:pt idx="5">
                  <c:v>45</c:v>
                </c:pt>
                <c:pt idx="6">
                  <c:v>45</c:v>
                </c:pt>
                <c:pt idx="7">
                  <c:v>45</c:v>
                </c:pt>
                <c:pt idx="8">
                  <c:v>45</c:v>
                </c:pt>
                <c:pt idx="9">
                  <c:v>46</c:v>
                </c:pt>
                <c:pt idx="10">
                  <c:v>47</c:v>
                </c:pt>
                <c:pt idx="11">
                  <c:v>47</c:v>
                </c:pt>
                <c:pt idx="12">
                  <c:v>50</c:v>
                </c:pt>
                <c:pt idx="13">
                  <c:v>50</c:v>
                </c:pt>
                <c:pt idx="14">
                  <c:v>50</c:v>
                </c:pt>
                <c:pt idx="15">
                  <c:v>50</c:v>
                </c:pt>
                <c:pt idx="16">
                  <c:v>50</c:v>
                </c:pt>
                <c:pt idx="17">
                  <c:v>50</c:v>
                </c:pt>
                <c:pt idx="18">
                  <c:v>50</c:v>
                </c:pt>
                <c:pt idx="19">
                  <c:v>51</c:v>
                </c:pt>
                <c:pt idx="20">
                  <c:v>51</c:v>
                </c:pt>
                <c:pt idx="21">
                  <c:v>51</c:v>
                </c:pt>
                <c:pt idx="22">
                  <c:v>52</c:v>
                </c:pt>
                <c:pt idx="23">
                  <c:v>76</c:v>
                </c:pt>
                <c:pt idx="24">
                  <c:v>78</c:v>
                </c:pt>
              </c:numCache>
            </c:numRef>
          </c:val>
          <c:extLst>
            <c:ext xmlns:c16="http://schemas.microsoft.com/office/drawing/2014/chart" uri="{C3380CC4-5D6E-409C-BE32-E72D297353CC}">
              <c16:uniqueId val="{00000000-F2A0-4BBC-98C1-7BFF38B39E03}"/>
            </c:ext>
          </c:extLst>
        </c:ser>
        <c:dLbls>
          <c:showLegendKey val="0"/>
          <c:showVal val="0"/>
          <c:showCatName val="0"/>
          <c:showSerName val="0"/>
          <c:showPercent val="0"/>
          <c:showBubbleSize val="0"/>
        </c:dLbls>
        <c:gapWidth val="182"/>
        <c:axId val="1864697416"/>
        <c:axId val="1864698136"/>
      </c:barChart>
      <c:catAx>
        <c:axId val="186469741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4698136"/>
        <c:crosses val="autoZero"/>
        <c:auto val="1"/>
        <c:lblAlgn val="ctr"/>
        <c:lblOffset val="100"/>
        <c:noMultiLvlLbl val="0"/>
      </c:catAx>
      <c:valAx>
        <c:axId val="18646981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46974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1DDB7F380DD648B043B15BAFF403F9" ma:contentTypeVersion="10" ma:contentTypeDescription="Create a new document." ma:contentTypeScope="" ma:versionID="1b55db953b00189e2871027b34c7431b">
  <xsd:schema xmlns:xsd="http://www.w3.org/2001/XMLSchema" xmlns:xs="http://www.w3.org/2001/XMLSchema" xmlns:p="http://schemas.microsoft.com/office/2006/metadata/properties" xmlns:ns2="3e47b61d-772c-48ed-b878-4f8e7da8bd06" xmlns:ns3="ce64293c-1e68-4891-91bb-3c1068e772f8" targetNamespace="http://schemas.microsoft.com/office/2006/metadata/properties" ma:root="true" ma:fieldsID="eb4a90880ad6d02a3c23c61cbad1c2c0" ns2:_="" ns3:_="">
    <xsd:import namespace="3e47b61d-772c-48ed-b878-4f8e7da8bd06"/>
    <xsd:import namespace="ce64293c-1e68-4891-91bb-3c1068e772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47b61d-772c-48ed-b878-4f8e7da8b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5d298e1-810f-4711-8be9-ef4702f2a38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64293c-1e68-4891-91bb-3c1068e772f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1172f17-3343-446e-b48f-b5fa1ba16131}" ma:internalName="TaxCatchAll" ma:showField="CatchAllData" ma:web="ce64293c-1e68-4891-91bb-3c1068e772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Geo25</b:Tag>
    <b:SourceType>InternetSite</b:SourceType>
    <b:Guid>{B9EB8825-84F2-4890-BC9F-742DD6930EFF}</b:Guid>
    <b:Title>SR 404 Spur/US 17 at Savannah River Crossing Project</b:Title>
    <b:Year>2025</b:Year>
    <b:Author>
      <b:Author>
        <b:Corporate>Georgia Department of Transportation</b:Corporate>
      </b:Author>
    </b:Author>
    <b:Month>March</b:Month>
    <b:URL>https://0017183-savannahrivercrossingproject-gdot.hub.arcgis.com/</b:URL>
    <b:RefOrder>1</b:RefOrder>
  </b:Source>
  <b:Source>
    <b:Tag>Mar25</b:Tag>
    <b:SourceType>ElectronicSource</b:SourceType>
    <b:Guid>{3CB287D8-3E55-40B9-8B02-A50861DED31E}</b:Guid>
    <b:Author>
      <b:Author>
        <b:Corporate>Maryland Transportation Authority</b:Corporate>
      </b:Author>
    </b:Author>
    <b:Title>Bridge Design</b:Title>
    <b:InternetSiteTitle>Key Bridge Rebuild</b:InternetSiteTitle>
    <b:Year>2025</b:Year>
    <b:Month>September</b:Month>
    <b:URL>https://keybridgerebuild.com/updates/bridge-design</b:URL>
    <b:YearAccessed>2025</b:YearAccessed>
    <b:MonthAccessed>October</b:MonthAccessed>
    <b:DayAccessed>8</b:DayAccessed>
    <b:City>Baltimore</b:City>
    <b:StateProvince>Maryland</b:StateProvince>
    <b:CountryRegion>U.S.</b:CountryRegion>
    <b:RefOrder>2</b:RefOrder>
  </b:Source>
  <b:Source>
    <b:Tag>USD24</b:Tag>
    <b:SourceType>InternetSite</b:SourceType>
    <b:Guid>{602121B5-892C-4B2E-B07A-18E5E093B922}</b:Guid>
    <b:Author>
      <b:Author>
        <b:Corporate>U.S. Department of Transportation, Federal Highway Administration</b:Corporate>
      </b:Author>
    </b:Author>
    <b:Title>Intermodal Connectors</b:Title>
    <b:Year>2024</b:Year>
    <b:Month>April</b:Month>
    <b:Day>9</b:Day>
    <b:YearAccessed>2025</b:YearAccessed>
    <b:MonthAccessed>October</b:MonthAccessed>
    <b:URL>https://www.fhwa.dot.gov/planning/national_highway_system/intermodal_connectors/</b:URL>
    <b:InternetSiteTitle>National Highway System</b:InternetSiteTitle>
    <b:RefOrder>5</b:RefOrder>
  </b:Source>
  <b:Source>
    <b:Tag>USA2</b:Tag>
    <b:SourceType>InternetSite</b:SourceType>
    <b:Guid>{F3B007EB-2042-4FA4-A8EE-359C4E9BDBCD}</b:Guid>
    <b:Title>Mobile District Website</b:Title>
    <b:Author>
      <b:Author>
        <b:Corporate>US Army Corps of Engineers</b:Corporate>
      </b:Author>
    </b:Author>
    <b:InternetSiteTitle>Mobile Harbor GRR, Design and Construction</b:InternetSiteTitle>
    <b:URL>https://www.sam.usace.army.mil/Missions/Program-and-Project-Management/Civil-Projects/Mobile-Harbor-GRR/</b:URL>
    <b:Year>2025</b:Year>
    <b:RefOrder>4</b:RefOrder>
  </b:Source>
  <b:Source>
    <b:Tag>Ala25</b:Tag>
    <b:SourceType>InternetSite</b:SourceType>
    <b:Guid>{92653E36-F870-4F4F-93EA-ECE904C174A3}</b:Guid>
    <b:Author>
      <b:Author>
        <b:Corporate>Alabama Port Authoirty</b:Corporate>
      </b:Author>
    </b:Author>
    <b:Title>Port of Mobile</b:Title>
    <b:InternetSiteTitle>Alabama Port Authority Celebrates Completion of Mobile Harbor Modernization Project with Ribbon-Cutting Ceremony</b:InternetSiteTitle>
    <b:Year>2025</b:Year>
    <b:Month>October</b:Month>
    <b:Day>13</b:Day>
    <b:URL>https://www.alports.com/alabama-port-authority-celebrates-completion-of-mobile-harbor-modernization-project-with-ribbon-cutting-ceremony/</b:URL>
    <b:RefOrder>3</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47b61d-772c-48ed-b878-4f8e7da8bd06">
      <Terms xmlns="http://schemas.microsoft.com/office/infopath/2007/PartnerControls"/>
    </lcf76f155ced4ddcb4097134ff3c332f>
    <TaxCatchAll xmlns="ce64293c-1e68-4891-91bb-3c1068e772f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02D1F5-FF95-4C35-8D77-E54B3BEAEA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47b61d-772c-48ed-b878-4f8e7da8bd06"/>
    <ds:schemaRef ds:uri="ce64293c-1e68-4891-91bb-3c1068e772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AA1FBE-27E2-4384-BCDE-87D853137701}">
  <ds:schemaRefs>
    <ds:schemaRef ds:uri="http://schemas.openxmlformats.org/officeDocument/2006/bibliography"/>
  </ds:schemaRefs>
</ds:datastoreItem>
</file>

<file path=customXml/itemProps3.xml><?xml version="1.0" encoding="utf-8"?>
<ds:datastoreItem xmlns:ds="http://schemas.openxmlformats.org/officeDocument/2006/customXml" ds:itemID="{30558B63-7A21-4283-8742-916B9F3C7B51}">
  <ds:schemaRefs>
    <ds:schemaRef ds:uri="http://schemas.microsoft.com/office/2006/metadata/properties"/>
    <ds:schemaRef ds:uri="http://schemas.microsoft.com/office/infopath/2007/PartnerControls"/>
    <ds:schemaRef ds:uri="3e47b61d-772c-48ed-b878-4f8e7da8bd06"/>
    <ds:schemaRef ds:uri="ce64293c-1e68-4891-91bb-3c1068e772f8"/>
  </ds:schemaRefs>
</ds:datastoreItem>
</file>

<file path=customXml/itemProps4.xml><?xml version="1.0" encoding="utf-8"?>
<ds:datastoreItem xmlns:ds="http://schemas.openxmlformats.org/officeDocument/2006/customXml" ds:itemID="{94E858EA-0530-4741-9A5F-B09023E28BEA}">
  <ds:schemaRefs>
    <ds:schemaRef ds:uri="http://schemas.microsoft.com/sharepoint/v3/contenttype/forms"/>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1658</Words>
  <Characters>9453</Characters>
  <Application>Microsoft Office Word</Application>
  <DocSecurity>0</DocSecurity>
  <Lines>78</Lines>
  <Paragraphs>22</Paragraphs>
  <ScaleCrop>false</ScaleCrop>
  <Company/>
  <LinksUpToDate>false</LinksUpToDate>
  <CharactersWithSpaces>11089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 Carpio, Nubia CTR (OST)</dc:creator>
  <cp:keywords/>
  <dc:description/>
  <cp:lastModifiedBy>Finch, Stephanie</cp:lastModifiedBy>
  <cp:revision>3</cp:revision>
  <dcterms:created xsi:type="dcterms:W3CDTF">2025-10-22T14:06:00Z</dcterms:created>
  <dcterms:modified xsi:type="dcterms:W3CDTF">2025-10-22T14:06:00Z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fb7edcd9-9532-4005-abc7-ff31b9e391e1</vt:lpwstr>
  </property>
  <property fmtid="{D5CDD505-2E9C-101B-9397-08002B2CF9AE}" pid="3" name="ContentTypeId">
    <vt:lpwstr>0x010100C71DDB7F380DD648B043B15BAFF403F9</vt:lpwstr>
  </property>
  <property fmtid="{D5CDD505-2E9C-101B-9397-08002B2CF9AE}" pid="4" name="docLang">
    <vt:lpwstr>en</vt:lpwstr>
  </property>
  <property fmtid="{D5CDD505-2E9C-101B-9397-08002B2CF9AE}" pid="5" name="MediaServiceImageTags">
    <vt:lpwstr/>
  </property>
</Properties>
</file>