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8E8" w:rsidRDefault="00A6328F">
      <w:pPr>
        <w:shd w:val="clear" w:color="auto" w:fill="1B3A5C"/>
        <w:jc w:val="center"/>
      </w:pPr>
      <w:r>
        <w:rPr>
          <w:rFonts w:ascii="Calibri" w:eastAsia="Calibri" w:hAnsi="Calibri" w:cs="Calibri"/>
          <w:b/>
          <w:bCs/>
          <w:color w:val="FFFFFF"/>
          <w:sz w:val="32"/>
          <w:szCs w:val="32"/>
        </w:rPr>
        <w:t>MEMORÁNDUM EJECUTIVO</w:t>
      </w:r>
    </w:p>
    <w:p w:rsidR="00C108E8" w:rsidRDefault="00A6328F">
      <w:pPr>
        <w:shd w:val="clear" w:color="auto" w:fill="2E6DA4"/>
        <w:jc w:val="center"/>
      </w:pPr>
      <w:r>
        <w:rPr>
          <w:rFonts w:ascii="Calibri" w:eastAsia="Calibri" w:hAnsi="Calibri" w:cs="Calibri"/>
          <w:b/>
          <w:bCs/>
          <w:color w:val="D6E4F0"/>
          <w:sz w:val="22"/>
          <w:szCs w:val="22"/>
        </w:rPr>
        <w:t>Cobertura de Riesgo Cambiario mediante Swap de Divisas USD/ARS</w:t>
      </w:r>
    </w:p>
    <w:p w:rsidR="00C108E8" w:rsidRDefault="00A6328F">
      <w:pPr>
        <w:shd w:val="clear" w:color="auto" w:fill="2E6DA4"/>
        <w:spacing w:after="200"/>
        <w:jc w:val="center"/>
      </w:pPr>
      <w:r>
        <w:rPr>
          <w:rFonts w:ascii="Calibri" w:eastAsia="Calibri" w:hAnsi="Calibri" w:cs="Calibri"/>
          <w:i/>
          <w:iCs/>
          <w:color w:val="D6E4F0"/>
          <w:sz w:val="18"/>
          <w:szCs w:val="18"/>
        </w:rPr>
        <w:t>Para: CFO — Área de Tesorería Corporativa     |     Fecha: septiembre 2026     |     Carácter: Confidencial</w:t>
      </w:r>
    </w:p>
    <w:p w:rsidR="00C108E8" w:rsidRDefault="00A6328F">
      <w:pPr>
        <w:pBdr>
          <w:bottom w:val="single" w:sz="4" w:space="0" w:color="2E6DA4"/>
        </w:pBdr>
        <w:spacing w:before="240" w:after="100"/>
      </w:pPr>
      <w:r>
        <w:rPr>
          <w:rFonts w:ascii="Calibri" w:eastAsia="Calibri" w:hAnsi="Calibri" w:cs="Calibri"/>
          <w:b/>
          <w:bCs/>
          <w:color w:val="1B3A5C"/>
          <w:sz w:val="26"/>
          <w:szCs w:val="26"/>
        </w:rPr>
        <w:t>1. Resumen del Problema Cambiario</w:t>
      </w:r>
    </w:p>
    <w:p w:rsidR="00C108E8" w:rsidRDefault="00A6328F">
      <w:pPr>
        <w:spacing w:after="80"/>
        <w:jc w:val="both"/>
      </w:pPr>
      <w:r>
        <w:rPr>
          <w:rFonts w:ascii="Calibri" w:eastAsia="Calibri" w:hAnsi="Calibri" w:cs="Calibri"/>
        </w:rPr>
        <w:t>La comp</w:t>
      </w:r>
      <w:r w:rsidR="003D2686">
        <w:rPr>
          <w:rFonts w:ascii="Calibri" w:eastAsia="Calibri" w:hAnsi="Calibri" w:cs="Calibri"/>
        </w:rPr>
        <w:t>añía genera ingresos de USD 500.</w:t>
      </w:r>
      <w:r>
        <w:rPr>
          <w:rFonts w:ascii="Calibri" w:eastAsia="Calibri" w:hAnsi="Calibri" w:cs="Calibri"/>
        </w:rPr>
        <w:t>000 mensuales provenientes de exportaciones, mientras que sus costos operativos (salarios, logística e insumos) s</w:t>
      </w:r>
      <w:r w:rsidR="003D2686">
        <w:rPr>
          <w:rFonts w:ascii="Calibri" w:eastAsia="Calibri" w:hAnsi="Calibri" w:cs="Calibri"/>
        </w:rPr>
        <w:t>e encuentran fijados en ARS 460.500.</w:t>
      </w:r>
      <w:r>
        <w:rPr>
          <w:rFonts w:ascii="Calibri" w:eastAsia="Calibri" w:hAnsi="Calibri" w:cs="Calibri"/>
        </w:rPr>
        <w:t>000 mensuales. Esta estructura crea una exposición cambiaria neta do</w:t>
      </w:r>
      <w:r>
        <w:rPr>
          <w:rFonts w:ascii="Calibri" w:eastAsia="Calibri" w:hAnsi="Calibri" w:cs="Calibri"/>
        </w:rPr>
        <w:t>nde la rentabilidad en pesos depende directamente del tipo de cambio al momento de conversión de divisas.</w:t>
      </w:r>
    </w:p>
    <w:p w:rsidR="00C108E8" w:rsidRDefault="00A6328F">
      <w:pPr>
        <w:spacing w:after="80"/>
        <w:jc w:val="both"/>
      </w:pPr>
      <w:r>
        <w:rPr>
          <w:rFonts w:ascii="Calibri" w:eastAsia="Calibri" w:hAnsi="Calibri" w:cs="Calibri"/>
        </w:rPr>
        <w:t>Al 18 de septiembre de 2026, el tipo de cambio CCL se ubica en ARS 1,587.52/USD. La curva de futuros implícita, derivada de la paridad de tasas de int</w:t>
      </w:r>
      <w:r>
        <w:rPr>
          <w:rFonts w:ascii="Calibri" w:eastAsia="Calibri" w:hAnsi="Calibri" w:cs="Calibri"/>
        </w:rPr>
        <w:t>erés cubierta (CIP) con las tasas de LECAP/BONCAP y SOFR, anticipa una depreciación del 23.7% en los próximos 12 meses, llevando el tipo de cambio forward a ARS 1,964.46/USD para septiembre de 2027.</w:t>
      </w:r>
    </w:p>
    <w:p w:rsidR="00C108E8" w:rsidRDefault="00A6328F">
      <w:pPr>
        <w:spacing w:after="80"/>
        <w:jc w:val="both"/>
      </w:pPr>
      <w:r>
        <w:rPr>
          <w:rFonts w:ascii="Calibri" w:eastAsia="Calibri" w:hAnsi="Calibri" w:cs="Calibri"/>
        </w:rPr>
        <w:t>El riesgo principal para la empresa no es una devaluación</w:t>
      </w:r>
      <w:r>
        <w:rPr>
          <w:rFonts w:ascii="Calibri" w:eastAsia="Calibri" w:hAnsi="Calibri" w:cs="Calibri"/>
        </w:rPr>
        <w:t xml:space="preserve"> brusca —que en términos de flujo en ARS sería favorable— sino el atraso cambiario: un escenario donde el tipo de cambio suba menos que el diferencial de tasas implícito en los forwards comprimiría el margen operativo en pesos de forma significativa. La in</w:t>
      </w:r>
      <w:r>
        <w:rPr>
          <w:rFonts w:ascii="Calibri" w:eastAsia="Calibri" w:hAnsi="Calibri" w:cs="Calibri"/>
        </w:rPr>
        <w:t>certidumbre sobre este parámetro impide una planificación presupuestaria confiable para el ejercicio 2026–2027.</w:t>
      </w:r>
    </w:p>
    <w:p w:rsidR="00C108E8" w:rsidRDefault="00A6328F">
      <w:pPr>
        <w:pBdr>
          <w:bottom w:val="single" w:sz="4" w:space="0" w:color="2E6DA4"/>
        </w:pBdr>
        <w:spacing w:before="240" w:after="100"/>
      </w:pPr>
      <w:r>
        <w:rPr>
          <w:rFonts w:ascii="Calibri" w:eastAsia="Calibri" w:hAnsi="Calibri" w:cs="Calibri"/>
          <w:b/>
          <w:bCs/>
          <w:color w:val="1B3A5C"/>
          <w:sz w:val="26"/>
          <w:szCs w:val="26"/>
        </w:rPr>
        <w:t>2. Estructura del Swap Propuesto — Términos Clave</w:t>
      </w:r>
    </w:p>
    <w:p w:rsidR="00C108E8" w:rsidRDefault="00A6328F">
      <w:pPr>
        <w:spacing w:after="80"/>
        <w:jc w:val="both"/>
      </w:pPr>
      <w:r>
        <w:rPr>
          <w:rFonts w:ascii="Calibri" w:eastAsia="Calibri" w:hAnsi="Calibri" w:cs="Calibri"/>
        </w:rPr>
        <w:t xml:space="preserve">Se propone instrumentar un swap de divisas </w:t>
      </w:r>
      <w:proofErr w:type="spellStart"/>
      <w:r>
        <w:rPr>
          <w:rFonts w:ascii="Calibri" w:eastAsia="Calibri" w:hAnsi="Calibri" w:cs="Calibri"/>
        </w:rPr>
        <w:t>plain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vanilla</w:t>
      </w:r>
      <w:proofErr w:type="spellEnd"/>
      <w:r w:rsidR="003D2686">
        <w:rPr>
          <w:rFonts w:ascii="Calibri" w:eastAsia="Calibri" w:hAnsi="Calibri" w:cs="Calibri"/>
        </w:rPr>
        <w:t xml:space="preserve"> (</w:t>
      </w:r>
      <w:r w:rsidR="003D2686" w:rsidRPr="003D2686">
        <w:rPr>
          <w:rFonts w:ascii="Calibri" w:eastAsia="Calibri" w:hAnsi="Calibri" w:cs="Calibri"/>
        </w:rPr>
        <w:t>versión má</w:t>
      </w:r>
      <w:r w:rsidR="003D2686">
        <w:rPr>
          <w:rFonts w:ascii="Calibri" w:eastAsia="Calibri" w:hAnsi="Calibri" w:cs="Calibri"/>
        </w:rPr>
        <w:t xml:space="preserve">s simple, estandarizada y común) </w:t>
      </w:r>
      <w:r>
        <w:rPr>
          <w:rFonts w:ascii="Calibri" w:eastAsia="Calibri" w:hAnsi="Calibri" w:cs="Calibri"/>
        </w:rPr>
        <w:t>a 12 meses bajo la siguiente estructu</w:t>
      </w:r>
      <w:r>
        <w:rPr>
          <w:rFonts w:ascii="Calibri" w:eastAsia="Calibri" w:hAnsi="Calibri" w:cs="Calibri"/>
        </w:rPr>
        <w:t>ra:</w:t>
      </w:r>
    </w:p>
    <w:p w:rsidR="00C108E8" w:rsidRDefault="00C108E8">
      <w:pPr>
        <w:spacing w:after="120"/>
      </w:pPr>
    </w:p>
    <w:tbl>
      <w:tblPr>
        <w:tblW w:w="92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62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Valor acordado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Tipo de operación</w:t>
            </w:r>
          </w:p>
        </w:tc>
        <w:tc>
          <w:tcPr>
            <w:tcW w:w="62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Swap de divisas USD/ARS — pagos mensuales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Nocional USD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USD 500,000 por período (USD 6,000,000 total)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Nocional ARS</w:t>
            </w:r>
          </w:p>
        </w:tc>
        <w:tc>
          <w:tcPr>
            <w:tcW w:w="62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ARS 793,760,000 (equivalente al TC spot CCL)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Horizonte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12 meses — 12 flujos mensuales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TC spot de referencia (CCL)</w:t>
            </w:r>
          </w:p>
        </w:tc>
        <w:tc>
          <w:tcPr>
            <w:tcW w:w="62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ARS 1,587.52 / USD (18-sept-2026)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Tasa fija ARS (empresa paga)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25.83% TEA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Tasa fija USD (empresa recibe)</w:t>
            </w:r>
          </w:p>
        </w:tc>
        <w:tc>
          <w:tcPr>
            <w:tcW w:w="62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4.47% TEA (SOFR a 12 meses)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TC forward a 12 meses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ARS 1,964.46 / USD (depreciación implícita: 23.7%)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Valor de mercado en t = 0</w:t>
            </w:r>
          </w:p>
        </w:tc>
        <w:tc>
          <w:tcPr>
            <w:tcW w:w="62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ARS 0 (condición de no arbitraje cumplida)</w:t>
            </w:r>
          </w:p>
        </w:tc>
      </w:tr>
    </w:tbl>
    <w:p w:rsidR="00C108E8" w:rsidRDefault="00C108E8">
      <w:pPr>
        <w:spacing w:after="120"/>
      </w:pPr>
    </w:p>
    <w:p w:rsidR="00C108E8" w:rsidRDefault="00A6328F">
      <w:pPr>
        <w:spacing w:after="80"/>
        <w:jc w:val="both"/>
      </w:pPr>
      <w:r>
        <w:rPr>
          <w:rFonts w:ascii="Calibri" w:eastAsia="Calibri" w:hAnsi="Calibri" w:cs="Calibri"/>
        </w:rPr>
        <w:t xml:space="preserve">Mecánica operativa: en cada fecha de pago mensual, la empresa entrega ARS 25.83% (TEA) sobre el nocional en pesos y recibe el equivalente en USD al tipo de cambio forward acordado para ese período. Al vencimiento se </w:t>
      </w:r>
      <w:proofErr w:type="spellStart"/>
      <w:r>
        <w:rPr>
          <w:rFonts w:ascii="Calibri" w:eastAsia="Calibri" w:hAnsi="Calibri" w:cs="Calibri"/>
        </w:rPr>
        <w:t>reintercambian</w:t>
      </w:r>
      <w:proofErr w:type="spellEnd"/>
      <w:r>
        <w:rPr>
          <w:rFonts w:ascii="Calibri" w:eastAsia="Calibri" w:hAnsi="Calibri" w:cs="Calibri"/>
        </w:rPr>
        <w:t xml:space="preserve"> los nocionales. El valor </w:t>
      </w:r>
      <w:r>
        <w:rPr>
          <w:rFonts w:ascii="Calibri" w:eastAsia="Calibri" w:hAnsi="Calibri" w:cs="Calibri"/>
        </w:rPr>
        <w:t>de mercado del swap en t = 0 es nulo, validado por los métodos de portafolio de forwards y diferencia de bonos, ambos consistentes con la condición de no arbitraje.</w:t>
      </w:r>
    </w:p>
    <w:p w:rsidR="00C108E8" w:rsidRDefault="00A6328F">
      <w:pPr>
        <w:spacing w:after="80"/>
        <w:jc w:val="both"/>
      </w:pPr>
      <w:r>
        <w:rPr>
          <w:rFonts w:ascii="Calibri" w:eastAsia="Calibri" w:hAnsi="Calibri" w:cs="Calibri"/>
        </w:rPr>
        <w:t>Supuesto metodológico: la curva de descuento en ARS fue construida a partir de los instrume</w:t>
      </w:r>
      <w:r>
        <w:rPr>
          <w:rFonts w:ascii="Calibri" w:eastAsia="Calibri" w:hAnsi="Calibri" w:cs="Calibri"/>
        </w:rPr>
        <w:t xml:space="preserve">ntos LECAP/BONCAP del mercado doméstico (tramo 1–12 meses), interpolados sobre el logaritmo de los factores de descuento mediante </w:t>
      </w:r>
      <w:proofErr w:type="spellStart"/>
      <w:r>
        <w:rPr>
          <w:rFonts w:ascii="Calibri" w:eastAsia="Calibri" w:hAnsi="Calibri" w:cs="Calibri"/>
        </w:rPr>
        <w:t>spline</w:t>
      </w:r>
      <w:proofErr w:type="spellEnd"/>
      <w:r>
        <w:rPr>
          <w:rFonts w:ascii="Calibri" w:eastAsia="Calibri" w:hAnsi="Calibri" w:cs="Calibri"/>
        </w:rPr>
        <w:t xml:space="preserve"> cúbico. Se utilizaron las tasas TEA de cada nodo y se aplicó la paridad de interés cubierta (CIP) para derivar los tipo</w:t>
      </w:r>
      <w:r>
        <w:rPr>
          <w:rFonts w:ascii="Calibri" w:eastAsia="Calibri" w:hAnsi="Calibri" w:cs="Calibri"/>
        </w:rPr>
        <w:t>s de cambio forward.</w:t>
      </w:r>
    </w:p>
    <w:p w:rsidR="00C108E8" w:rsidRDefault="00A6328F">
      <w:r>
        <w:br w:type="page"/>
      </w:r>
    </w:p>
    <w:p w:rsidR="00C108E8" w:rsidRDefault="00A6328F">
      <w:pPr>
        <w:pBdr>
          <w:bottom w:val="single" w:sz="4" w:space="0" w:color="2E6DA4"/>
        </w:pBdr>
        <w:spacing w:before="240" w:after="100"/>
      </w:pPr>
      <w:r>
        <w:rPr>
          <w:rFonts w:ascii="Calibri" w:eastAsia="Calibri" w:hAnsi="Calibri" w:cs="Calibri"/>
          <w:b/>
          <w:bCs/>
          <w:color w:val="1B3A5C"/>
          <w:sz w:val="26"/>
          <w:szCs w:val="26"/>
        </w:rPr>
        <w:lastRenderedPageBreak/>
        <w:t>3. Análisis Costo–Beneficio de la Cobertura</w:t>
      </w:r>
    </w:p>
    <w:p w:rsidR="00C108E8" w:rsidRDefault="00A6328F">
      <w:pPr>
        <w:spacing w:before="200" w:after="80"/>
      </w:pPr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3.1 Escenarios de resultado acumulado (12 meses)</w:t>
      </w:r>
    </w:p>
    <w:p w:rsidR="00C108E8" w:rsidRDefault="00C108E8">
      <w:pPr>
        <w:spacing w:after="100"/>
      </w:pPr>
    </w:p>
    <w:tbl>
      <w:tblPr>
        <w:tblW w:w="92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250"/>
        <w:gridCol w:w="2250"/>
      </w:tblGrid>
      <w:tr w:rsidR="00C108E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  <w:tc>
          <w:tcPr>
            <w:tcW w:w="22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sin cobertura</w:t>
            </w:r>
          </w:p>
        </w:tc>
        <w:tc>
          <w:tcPr>
            <w:tcW w:w="225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con swap</w:t>
            </w:r>
          </w:p>
        </w:tc>
        <w:tc>
          <w:tcPr>
            <w:tcW w:w="225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Beneficio / Costo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Base (TC fijo ARS 1,535)</w:t>
            </w:r>
          </w:p>
        </w:tc>
        <w:tc>
          <w:tcPr>
            <w:tcW w:w="22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ARS 3,684 M</w:t>
            </w:r>
          </w:p>
        </w:tc>
        <w:tc>
          <w:tcPr>
            <w:tcW w:w="225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ARS 5,128 M</w:t>
            </w:r>
          </w:p>
        </w:tc>
        <w:tc>
          <w:tcPr>
            <w:tcW w:w="225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7A40"/>
                <w:sz w:val="19"/>
                <w:szCs w:val="19"/>
              </w:rPr>
              <w:t>+ARS 1,444 M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Moderado (+1.04% mensual)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ARS 4,230 M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ARS 5,128 M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7A40"/>
                <w:sz w:val="19"/>
                <w:szCs w:val="19"/>
              </w:rPr>
              <w:t>+ARS 898 M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Fuerte (+2.6% mensual)</w:t>
            </w:r>
          </w:p>
        </w:tc>
        <w:tc>
          <w:tcPr>
            <w:tcW w:w="22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ARS 5,122 M</w:t>
            </w:r>
          </w:p>
        </w:tc>
        <w:tc>
          <w:tcPr>
            <w:tcW w:w="225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ARS 5,128 M</w:t>
            </w:r>
          </w:p>
        </w:tc>
        <w:tc>
          <w:tcPr>
            <w:tcW w:w="225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6914"/>
                <w:sz w:val="19"/>
                <w:szCs w:val="19"/>
              </w:rPr>
              <w:t>+ARS 6 M</w:t>
            </w:r>
          </w:p>
        </w:tc>
      </w:tr>
    </w:tbl>
    <w:p w:rsidR="00C108E8" w:rsidRDefault="00C108E8">
      <w:pPr>
        <w:spacing w:after="120"/>
      </w:pPr>
    </w:p>
    <w:p w:rsidR="00C108E8" w:rsidRDefault="00A6328F">
      <w:pPr>
        <w:spacing w:after="80"/>
        <w:jc w:val="both"/>
      </w:pPr>
      <w:r>
        <w:rPr>
          <w:rFonts w:ascii="Calibri" w:eastAsia="Calibri" w:hAnsi="Calibri" w:cs="Calibri"/>
        </w:rPr>
        <w:t>El swap garantiza un resultado acumulado de ARS 5,128 M independientemente del escenario cambiario. En el escenario base (TC estático), el beneficio de la cobertura asciende a ARS 1,444 M; en el moderado (+1.04% mensual, equivalente a la tasa de devaluació</w:t>
      </w:r>
      <w:r>
        <w:rPr>
          <w:rFonts w:ascii="Calibri" w:eastAsia="Calibri" w:hAnsi="Calibri" w:cs="Calibri"/>
        </w:rPr>
        <w:t>n promedio de los últimos 12 meses), el beneficio es de ARS 898 M. En el escenario de devaluación fuerte (+2.6% mensual</w:t>
      </w:r>
      <w:r w:rsidR="003D2686">
        <w:rPr>
          <w:rFonts w:ascii="Calibri" w:eastAsia="Calibri" w:hAnsi="Calibri" w:cs="Calibri"/>
        </w:rPr>
        <w:t>, para el contexto argentino actual</w:t>
      </w:r>
      <w:r>
        <w:rPr>
          <w:rFonts w:ascii="Calibri" w:eastAsia="Calibri" w:hAnsi="Calibri" w:cs="Calibri"/>
        </w:rPr>
        <w:t>), la cobertura es prácticamente neutral (+ARS 6 M), evidenciando que su valor reside en proteger contra el atraso cambiario, no contra l</w:t>
      </w:r>
      <w:r>
        <w:rPr>
          <w:rFonts w:ascii="Calibri" w:eastAsia="Calibri" w:hAnsi="Calibri" w:cs="Calibri"/>
        </w:rPr>
        <w:t>a devaluación acelerada.</w:t>
      </w:r>
    </w:p>
    <w:p w:rsidR="00C108E8" w:rsidRDefault="00A6328F">
      <w:pPr>
        <w:spacing w:before="200" w:after="80"/>
      </w:pPr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3.2 Costo implícito de la cobertura</w:t>
      </w:r>
    </w:p>
    <w:p w:rsidR="00C108E8" w:rsidRDefault="00A6328F">
      <w:pPr>
        <w:spacing w:after="80"/>
        <w:jc w:val="both"/>
      </w:pPr>
      <w:r>
        <w:rPr>
          <w:rFonts w:ascii="Calibri" w:eastAsia="Calibri" w:hAnsi="Calibri" w:cs="Calibri"/>
        </w:rPr>
        <w:t>El costo de la cobertura se mide como la diferencia entre el TC forward promedio ponderado (por factores de descuento) y el TC spot actual:</w:t>
      </w:r>
    </w:p>
    <w:p w:rsidR="00C108E8" w:rsidRDefault="00A6328F">
      <w:pPr>
        <w:spacing w:after="40"/>
      </w:pPr>
      <w:r>
        <w:rPr>
          <w:rFonts w:ascii="Courier New" w:eastAsia="Courier New" w:hAnsi="Courier New" w:cs="Courier New"/>
          <w:b/>
          <w:bCs/>
        </w:rPr>
        <w:t xml:space="preserve">      TC forward promedio ponderado:  </w:t>
      </w:r>
      <w:r w:rsidR="003D2686">
        <w:rPr>
          <w:rFonts w:ascii="Courier New" w:eastAsia="Courier New" w:hAnsi="Courier New" w:cs="Courier New"/>
          <w:b/>
          <w:bCs/>
        </w:rPr>
        <w:tab/>
      </w:r>
      <w:r>
        <w:rPr>
          <w:rFonts w:ascii="Courier New" w:eastAsia="Courier New" w:hAnsi="Courier New" w:cs="Courier New"/>
          <w:b/>
          <w:bCs/>
        </w:rPr>
        <w:t>ARS 1,767.59 / US</w:t>
      </w:r>
      <w:r>
        <w:rPr>
          <w:rFonts w:ascii="Courier New" w:eastAsia="Courier New" w:hAnsi="Courier New" w:cs="Courier New"/>
          <w:b/>
          <w:bCs/>
        </w:rPr>
        <w:t>D</w:t>
      </w:r>
    </w:p>
    <w:p w:rsidR="00C108E8" w:rsidRDefault="00A6328F">
      <w:pPr>
        <w:spacing w:after="80"/>
      </w:pPr>
      <w:r>
        <w:rPr>
          <w:rFonts w:ascii="Courier New" w:eastAsia="Courier New" w:hAnsi="Courier New" w:cs="Courier New"/>
          <w:b/>
          <w:bCs/>
        </w:rPr>
        <w:t xml:space="preserve">      Costo total de cobertura:        11.34% sobre el TC spot</w:t>
      </w:r>
    </w:p>
    <w:p w:rsidR="00C108E8" w:rsidRDefault="00A6328F">
      <w:pPr>
        <w:spacing w:after="80"/>
        <w:jc w:val="both"/>
      </w:pPr>
      <w:r>
        <w:rPr>
          <w:rFonts w:ascii="Calibri" w:eastAsia="Calibri" w:hAnsi="Calibri" w:cs="Calibri"/>
        </w:rPr>
        <w:t xml:space="preserve">Este 11.34% representa el costo acumulado de 12 meses —no anualizado— implícito en el diferencial de tasas ARS/USD. En términos anualizados equivale a aproximadamente 22–23%, consistente con </w:t>
      </w:r>
      <w:r>
        <w:rPr>
          <w:rFonts w:ascii="Calibri" w:eastAsia="Calibri" w:hAnsi="Calibri" w:cs="Calibri"/>
        </w:rPr>
        <w:t xml:space="preserve">el spread de tasas entre la curva LECAP (~26% TEA) y la SOFR (~4.5% TEA). Es un costo de certidumbre, no una pérdida neta: se materializa únicamente cuando la devaluación efectiva supera las expectativas del mercado </w:t>
      </w:r>
      <w:proofErr w:type="spellStart"/>
      <w:r>
        <w:rPr>
          <w:rFonts w:ascii="Calibri" w:eastAsia="Calibri" w:hAnsi="Calibri" w:cs="Calibri"/>
        </w:rPr>
        <w:t>priceadas</w:t>
      </w:r>
      <w:proofErr w:type="spellEnd"/>
      <w:r>
        <w:rPr>
          <w:rFonts w:ascii="Calibri" w:eastAsia="Calibri" w:hAnsi="Calibri" w:cs="Calibri"/>
        </w:rPr>
        <w:t xml:space="preserve"> en los forwards.</w:t>
      </w:r>
    </w:p>
    <w:p w:rsidR="00C108E8" w:rsidRDefault="00A6328F">
      <w:pPr>
        <w:spacing w:before="200" w:after="80"/>
      </w:pPr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3.3 Sensibili</w:t>
      </w:r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dad al riesgo de tasa de interés (</w:t>
      </w:r>
      <w:proofErr w:type="spellStart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mark</w:t>
      </w:r>
      <w:proofErr w:type="spellEnd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-to-</w:t>
      </w:r>
      <w:proofErr w:type="spellStart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market</w:t>
      </w:r>
      <w:proofErr w:type="spellEnd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)</w:t>
      </w:r>
    </w:p>
    <w:p w:rsidR="00C108E8" w:rsidRDefault="00C108E8">
      <w:pPr>
        <w:spacing w:after="100"/>
      </w:pPr>
    </w:p>
    <w:tbl>
      <w:tblPr>
        <w:tblW w:w="92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00"/>
        <w:gridCol w:w="3100"/>
      </w:tblGrid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Shock sobre tasas ARS</w:t>
            </w:r>
          </w:p>
        </w:tc>
        <w:tc>
          <w:tcPr>
            <w:tcW w:w="31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V_swap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(ARS M)</w:t>
            </w:r>
          </w:p>
        </w:tc>
        <w:tc>
          <w:tcPr>
            <w:tcW w:w="31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Interpretación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−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1,000 bps (tasas bajan 10pp)</w:t>
            </w:r>
          </w:p>
        </w:tc>
        <w:tc>
          <w:tcPr>
            <w:tcW w:w="31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93226"/>
                <w:sz w:val="19"/>
                <w:szCs w:val="19"/>
              </w:rPr>
              <w:t>−</w:t>
            </w:r>
            <w:r>
              <w:rPr>
                <w:rFonts w:ascii="Calibri" w:eastAsia="Calibri" w:hAnsi="Calibri" w:cs="Calibri"/>
                <w:b/>
                <w:bCs/>
                <w:color w:val="A93226"/>
                <w:sz w:val="19"/>
                <w:szCs w:val="19"/>
              </w:rPr>
              <w:t>ARS 59.3 M</w:t>
            </w:r>
          </w:p>
        </w:tc>
        <w:tc>
          <w:tcPr>
            <w:tcW w:w="31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Swap desfavorable para la empresa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−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500 bps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93226"/>
                <w:sz w:val="19"/>
                <w:szCs w:val="19"/>
              </w:rPr>
              <w:t>−</w:t>
            </w:r>
            <w:r>
              <w:rPr>
                <w:rFonts w:ascii="Calibri" w:eastAsia="Calibri" w:hAnsi="Calibri" w:cs="Calibri"/>
                <w:b/>
                <w:bCs/>
                <w:color w:val="A93226"/>
                <w:sz w:val="19"/>
                <w:szCs w:val="19"/>
              </w:rPr>
              <w:t>ARS 28.5 M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Posición negativa moderada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Sin shock (t = 0)</w:t>
            </w:r>
          </w:p>
        </w:tc>
        <w:tc>
          <w:tcPr>
            <w:tcW w:w="31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ARS 0</w:t>
            </w:r>
          </w:p>
        </w:tc>
        <w:tc>
          <w:tcPr>
            <w:tcW w:w="31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Valor nulo por no arbitraje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+500 bps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7A40"/>
                <w:sz w:val="19"/>
                <w:szCs w:val="19"/>
              </w:rPr>
              <w:t>+ARS 26.4 M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Swap favorece a la empresa</w:t>
            </w:r>
          </w:p>
        </w:tc>
      </w:tr>
      <w:tr w:rsidR="00C108E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+1,000 bps (tasas suben 10pp)</w:t>
            </w:r>
          </w:p>
        </w:tc>
        <w:tc>
          <w:tcPr>
            <w:tcW w:w="31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7A40"/>
                <w:sz w:val="19"/>
                <w:szCs w:val="19"/>
              </w:rPr>
              <w:t>+ARS 50.9 M</w:t>
            </w:r>
          </w:p>
        </w:tc>
        <w:tc>
          <w:tcPr>
            <w:tcW w:w="31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08E8" w:rsidRDefault="00A6328F">
            <w:r>
              <w:rPr>
                <w:rFonts w:ascii="Calibri" w:eastAsia="Calibri" w:hAnsi="Calibri" w:cs="Calibri"/>
                <w:sz w:val="19"/>
                <w:szCs w:val="19"/>
              </w:rPr>
              <w:t>Posición favorable significativa</w:t>
            </w:r>
          </w:p>
        </w:tc>
      </w:tr>
    </w:tbl>
    <w:p w:rsidR="00C108E8" w:rsidRDefault="00C108E8">
      <w:pPr>
        <w:spacing w:after="120"/>
      </w:pPr>
    </w:p>
    <w:p w:rsidR="00C108E8" w:rsidRDefault="00A6328F">
      <w:pPr>
        <w:spacing w:after="80"/>
        <w:jc w:val="both"/>
      </w:pPr>
      <w:r>
        <w:rPr>
          <w:rFonts w:ascii="Calibri" w:eastAsia="Calibri" w:hAnsi="Calibri" w:cs="Calibri"/>
        </w:rPr>
        <w:t xml:space="preserve">La posición pagadora de tasa fija ARS tiene una duración implícita que genera riesgo de </w:t>
      </w:r>
      <w:proofErr w:type="spellStart"/>
      <w:r>
        <w:rPr>
          <w:rFonts w:ascii="Calibri" w:eastAsia="Calibri" w:hAnsi="Calibri" w:cs="Calibri"/>
        </w:rPr>
        <w:t>mark</w:t>
      </w:r>
      <w:proofErr w:type="spellEnd"/>
      <w:r>
        <w:rPr>
          <w:rFonts w:ascii="Calibri" w:eastAsia="Calibri" w:hAnsi="Calibri" w:cs="Calibri"/>
        </w:rPr>
        <w:t>-to-</w:t>
      </w:r>
      <w:proofErr w:type="spellStart"/>
      <w:r>
        <w:rPr>
          <w:rFonts w:ascii="Calibri" w:eastAsia="Calibri" w:hAnsi="Calibri" w:cs="Calibri"/>
        </w:rPr>
        <w:t>market</w:t>
      </w:r>
      <w:proofErr w:type="spellEnd"/>
      <w:r>
        <w:rPr>
          <w:rFonts w:ascii="Calibri" w:eastAsia="Calibri" w:hAnsi="Calibri" w:cs="Calibri"/>
        </w:rPr>
        <w:t xml:space="preserve"> ante movimientos en la curva de tasas doméstica. Una caída de 1,000 bps en las tasas ARS deterioraría el valor de mercado del swap en ARS 59.3 M</w:t>
      </w:r>
      <w:r>
        <w:rPr>
          <w:rFonts w:ascii="Calibri" w:eastAsia="Calibri" w:hAnsi="Calibri" w:cs="Calibri"/>
        </w:rPr>
        <w:t>. Esta sensibilidad no afecta los flujos de caja del swap, que permanecen determinísticos, pero sí la valuación patrimonial del instrumento.</w:t>
      </w:r>
    </w:p>
    <w:p w:rsidR="00C108E8" w:rsidRDefault="00A6328F">
      <w:pPr>
        <w:pBdr>
          <w:bottom w:val="single" w:sz="4" w:space="0" w:color="2E6DA4"/>
        </w:pBdr>
        <w:spacing w:before="240" w:after="100"/>
      </w:pPr>
      <w:r>
        <w:rPr>
          <w:rFonts w:ascii="Calibri" w:eastAsia="Calibri" w:hAnsi="Calibri" w:cs="Calibri"/>
          <w:b/>
          <w:bCs/>
          <w:color w:val="1B3A5C"/>
          <w:sz w:val="26"/>
          <w:szCs w:val="26"/>
        </w:rPr>
        <w:t>4. Recomendación y Condicion</w:t>
      </w:r>
      <w:r>
        <w:rPr>
          <w:rFonts w:ascii="Calibri" w:eastAsia="Calibri" w:hAnsi="Calibri" w:cs="Calibri"/>
          <w:b/>
          <w:bCs/>
          <w:color w:val="1B3A5C"/>
          <w:sz w:val="26"/>
          <w:szCs w:val="26"/>
        </w:rPr>
        <w:t>antes</w:t>
      </w:r>
    </w:p>
    <w:p w:rsidR="00C108E8" w:rsidRDefault="00A6328F">
      <w:pPr>
        <w:spacing w:after="80"/>
        <w:jc w:val="both"/>
      </w:pPr>
      <w:r>
        <w:rPr>
          <w:rFonts w:ascii="Calibri" w:eastAsia="Calibri" w:hAnsi="Calibri" w:cs="Calibri"/>
        </w:rPr>
        <w:t>Se recomienda contratar el swap de divisas por el total del nocional (USD 500,000 mensuales × 12 meses) bajo las condiciones descritas, sujeto a los siguientes condicionantes:</w:t>
      </w:r>
    </w:p>
    <w:p w:rsidR="00C108E8" w:rsidRDefault="00A6328F">
      <w:pPr>
        <w:pStyle w:val="Prrafodelista"/>
        <w:numPr>
          <w:ilvl w:val="0"/>
          <w:numId w:val="1"/>
        </w:numPr>
        <w:spacing w:after="60"/>
        <w:ind w:left="400"/>
      </w:pPr>
      <w:r>
        <w:rPr>
          <w:rFonts w:ascii="Calibri" w:eastAsia="Calibri" w:hAnsi="Calibri" w:cs="Calibri"/>
        </w:rPr>
        <w:t>Contratar cuando el costo de cobertura (TC forward promedio / TC spot − 1)</w:t>
      </w:r>
      <w:r>
        <w:rPr>
          <w:rFonts w:ascii="Calibri" w:eastAsia="Calibri" w:hAnsi="Calibri" w:cs="Calibri"/>
        </w:rPr>
        <w:t xml:space="preserve"> no supere el 15% acumulado. Al 18-sept-2026 el costo es 11.34%, dentro del umbral. Si por condiciones de mercado este costo superara el 15%, evaluar cobertura parcial (50–70% del nocional) para preservar </w:t>
      </w:r>
      <w:proofErr w:type="spellStart"/>
      <w:r>
        <w:rPr>
          <w:rFonts w:ascii="Calibri" w:eastAsia="Calibri" w:hAnsi="Calibri" w:cs="Calibri"/>
        </w:rPr>
        <w:t>upside</w:t>
      </w:r>
      <w:proofErr w:type="spellEnd"/>
      <w:r>
        <w:rPr>
          <w:rFonts w:ascii="Calibri" w:eastAsia="Calibri" w:hAnsi="Calibri" w:cs="Calibri"/>
        </w:rPr>
        <w:t xml:space="preserve"> ante devaluaciones fuertes.</w:t>
      </w:r>
    </w:p>
    <w:p w:rsidR="00C108E8" w:rsidRDefault="00A6328F">
      <w:pPr>
        <w:pStyle w:val="Prrafodelista"/>
        <w:numPr>
          <w:ilvl w:val="0"/>
          <w:numId w:val="1"/>
        </w:numPr>
        <w:spacing w:after="60"/>
        <w:ind w:left="400"/>
      </w:pPr>
      <w:r>
        <w:rPr>
          <w:rFonts w:ascii="Calibri" w:eastAsia="Calibri" w:hAnsi="Calibri" w:cs="Calibri"/>
        </w:rPr>
        <w:lastRenderedPageBreak/>
        <w:t>Revisar la estru</w:t>
      </w:r>
      <w:r>
        <w:rPr>
          <w:rFonts w:ascii="Calibri" w:eastAsia="Calibri" w:hAnsi="Calibri" w:cs="Calibri"/>
        </w:rPr>
        <w:t xml:space="preserve">ctura si las tasas ARS caen más de 800 bps respecto del nivel actual: en ese caso el </w:t>
      </w:r>
      <w:proofErr w:type="spellStart"/>
      <w:r>
        <w:rPr>
          <w:rFonts w:ascii="Calibri" w:eastAsia="Calibri" w:hAnsi="Calibri" w:cs="Calibri"/>
        </w:rPr>
        <w:t>mark</w:t>
      </w:r>
      <w:proofErr w:type="spellEnd"/>
      <w:r>
        <w:rPr>
          <w:rFonts w:ascii="Calibri" w:eastAsia="Calibri" w:hAnsi="Calibri" w:cs="Calibri"/>
        </w:rPr>
        <w:t>-to-</w:t>
      </w:r>
      <w:proofErr w:type="spellStart"/>
      <w:r>
        <w:rPr>
          <w:rFonts w:ascii="Calibri" w:eastAsia="Calibri" w:hAnsi="Calibri" w:cs="Calibri"/>
        </w:rPr>
        <w:t>market</w:t>
      </w:r>
      <w:proofErr w:type="spellEnd"/>
      <w:r>
        <w:rPr>
          <w:rFonts w:ascii="Calibri" w:eastAsia="Calibri" w:hAnsi="Calibri" w:cs="Calibri"/>
        </w:rPr>
        <w:t xml:space="preserve"> del swap podría generar un pasivo contable de entre ARS 45–60 M, lo que podría requerir constitución de garantías ante la contraparte bancaria.</w:t>
      </w:r>
    </w:p>
    <w:p w:rsidR="00C108E8" w:rsidRDefault="00A6328F">
      <w:pPr>
        <w:pStyle w:val="Prrafodelista"/>
        <w:numPr>
          <w:ilvl w:val="0"/>
          <w:numId w:val="1"/>
        </w:numPr>
        <w:spacing w:after="60"/>
        <w:ind w:left="400"/>
      </w:pPr>
      <w:r>
        <w:rPr>
          <w:rFonts w:ascii="Calibri" w:eastAsia="Calibri" w:hAnsi="Calibri" w:cs="Calibri"/>
        </w:rPr>
        <w:t>Si la brecha</w:t>
      </w:r>
      <w:r>
        <w:rPr>
          <w:rFonts w:ascii="Calibri" w:eastAsia="Calibri" w:hAnsi="Calibri" w:cs="Calibri"/>
        </w:rPr>
        <w:t xml:space="preserve"> CCL–oficial se cierra por debajo de 3%, reconsiderar la referencia de TC utilizada para la liquidación del swap, dado que el CCL podría converger al oficial y modificar las condiciones de conversión efectiva.</w:t>
      </w:r>
    </w:p>
    <w:p w:rsidR="00C108E8" w:rsidRDefault="00A6328F">
      <w:pPr>
        <w:pStyle w:val="Prrafodelista"/>
        <w:numPr>
          <w:ilvl w:val="0"/>
          <w:numId w:val="1"/>
        </w:numPr>
        <w:spacing w:after="60"/>
        <w:ind w:left="400"/>
      </w:pPr>
      <w:r>
        <w:rPr>
          <w:rFonts w:ascii="Calibri" w:eastAsia="Calibri" w:hAnsi="Calibri" w:cs="Calibri"/>
        </w:rPr>
        <w:t>Para plazos superiores a 12 meses, la pendient</w:t>
      </w:r>
      <w:r>
        <w:rPr>
          <w:rFonts w:ascii="Calibri" w:eastAsia="Calibri" w:hAnsi="Calibri" w:cs="Calibri"/>
        </w:rPr>
        <w:t>e positiva de la curva LECAP sugiere que el costo de cobertura escalaría significativamente. En ese horizonte, evaluar una estructura de cobertura dinámica (</w:t>
      </w:r>
      <w:proofErr w:type="spellStart"/>
      <w:r>
        <w:rPr>
          <w:rFonts w:ascii="Calibri" w:eastAsia="Calibri" w:hAnsi="Calibri" w:cs="Calibri"/>
        </w:rPr>
        <w:t>rolling</w:t>
      </w:r>
      <w:proofErr w:type="spellEnd"/>
      <w:r>
        <w:rPr>
          <w:rFonts w:ascii="Calibri" w:eastAsia="Calibri" w:hAnsi="Calibri" w:cs="Calibri"/>
        </w:rPr>
        <w:t xml:space="preserve"> de forwards trimestrales) como alternativa más flexible.</w:t>
      </w:r>
      <w:bookmarkStart w:id="0" w:name="_GoBack"/>
      <w:bookmarkEnd w:id="0"/>
    </w:p>
    <w:p w:rsidR="00C108E8" w:rsidRDefault="00C108E8">
      <w:pPr>
        <w:spacing w:after="120"/>
      </w:pPr>
    </w:p>
    <w:p w:rsidR="00C108E8" w:rsidRDefault="00A6328F">
      <w:pPr>
        <w:spacing w:after="80"/>
        <w:jc w:val="both"/>
      </w:pPr>
      <w:r>
        <w:rPr>
          <w:rFonts w:ascii="Calibri" w:eastAsia="Calibri" w:hAnsi="Calibri" w:cs="Calibri"/>
        </w:rPr>
        <w:t>En síntesis, la cobertura propues</w:t>
      </w:r>
      <w:r>
        <w:rPr>
          <w:rFonts w:ascii="Calibri" w:eastAsia="Calibri" w:hAnsi="Calibri" w:cs="Calibri"/>
        </w:rPr>
        <w:t>ta transforma un resultado operativo incierto en un flujo anual garantizado de ARS 5,128 M a un costo razonable dado el diferencial de tasas vigente. La certidumbre presupuestaria que provee justifica el costo implícito en la totalidad de los escenarios qu</w:t>
      </w:r>
      <w:r>
        <w:rPr>
          <w:rFonts w:ascii="Calibri" w:eastAsia="Calibri" w:hAnsi="Calibri" w:cs="Calibri"/>
        </w:rPr>
        <w:t>e no involucren devaluación agresiva sostenida.</w:t>
      </w:r>
    </w:p>
    <w:p w:rsidR="00C108E8" w:rsidRDefault="00C108E8">
      <w:pPr>
        <w:pBdr>
          <w:bottom w:val="single" w:sz="6" w:space="0" w:color="2E6DA4"/>
        </w:pBdr>
        <w:spacing w:after="120"/>
      </w:pPr>
    </w:p>
    <w:p w:rsidR="00C108E8" w:rsidRDefault="00A6328F">
      <w:pPr>
        <w:spacing w:before="8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 xml:space="preserve">Elaborado por el Área de Finanzas Corporativas  ·  Modelo de valuación: Python (CIP + </w:t>
      </w:r>
      <w:proofErr w:type="spellStart"/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spline</w:t>
      </w:r>
      <w:proofErr w:type="spellEnd"/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 xml:space="preserve"> cúbico)  ·  Datos: BCRA / CME </w:t>
      </w:r>
      <w:proofErr w:type="spellStart"/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Group</w:t>
      </w:r>
      <w:proofErr w:type="spellEnd"/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 xml:space="preserve"> / BYMA  ·  Septiembre 2026</w:t>
      </w:r>
    </w:p>
    <w:sectPr w:rsidR="00C108E8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85EC6"/>
    <w:multiLevelType w:val="hybridMultilevel"/>
    <w:tmpl w:val="4AF89A98"/>
    <w:lvl w:ilvl="0" w:tplc="30AEFCDA">
      <w:start w:val="1"/>
      <w:numFmt w:val="bullet"/>
      <w:lvlText w:val="•"/>
      <w:lvlJc w:val="left"/>
      <w:pPr>
        <w:ind w:left="400" w:hanging="200"/>
      </w:pPr>
    </w:lvl>
    <w:lvl w:ilvl="1" w:tplc="005628BC">
      <w:numFmt w:val="decimal"/>
      <w:lvlText w:val=""/>
      <w:lvlJc w:val="left"/>
    </w:lvl>
    <w:lvl w:ilvl="2" w:tplc="154AFC58">
      <w:numFmt w:val="decimal"/>
      <w:lvlText w:val=""/>
      <w:lvlJc w:val="left"/>
    </w:lvl>
    <w:lvl w:ilvl="3" w:tplc="3F4C91FE">
      <w:numFmt w:val="decimal"/>
      <w:lvlText w:val=""/>
      <w:lvlJc w:val="left"/>
    </w:lvl>
    <w:lvl w:ilvl="4" w:tplc="3C62F39C">
      <w:numFmt w:val="decimal"/>
      <w:lvlText w:val=""/>
      <w:lvlJc w:val="left"/>
    </w:lvl>
    <w:lvl w:ilvl="5" w:tplc="6A141434">
      <w:numFmt w:val="decimal"/>
      <w:lvlText w:val=""/>
      <w:lvlJc w:val="left"/>
    </w:lvl>
    <w:lvl w:ilvl="6" w:tplc="5822A0F6">
      <w:numFmt w:val="decimal"/>
      <w:lvlText w:val=""/>
      <w:lvlJc w:val="left"/>
    </w:lvl>
    <w:lvl w:ilvl="7" w:tplc="A78E7CBE">
      <w:numFmt w:val="decimal"/>
      <w:lvlText w:val=""/>
      <w:lvlJc w:val="left"/>
    </w:lvl>
    <w:lvl w:ilvl="8" w:tplc="E3FA80C2">
      <w:numFmt w:val="decimal"/>
      <w:lvlText w:val=""/>
      <w:lvlJc w:val="left"/>
    </w:lvl>
  </w:abstractNum>
  <w:abstractNum w:abstractNumId="1">
    <w:nsid w:val="1BA25884"/>
    <w:multiLevelType w:val="hybridMultilevel"/>
    <w:tmpl w:val="35986874"/>
    <w:lvl w:ilvl="0" w:tplc="94D40CC4">
      <w:start w:val="1"/>
      <w:numFmt w:val="bullet"/>
      <w:lvlText w:val="●"/>
      <w:lvlJc w:val="left"/>
      <w:pPr>
        <w:ind w:left="720" w:hanging="360"/>
      </w:pPr>
    </w:lvl>
    <w:lvl w:ilvl="1" w:tplc="00029536">
      <w:start w:val="1"/>
      <w:numFmt w:val="bullet"/>
      <w:lvlText w:val="○"/>
      <w:lvlJc w:val="left"/>
      <w:pPr>
        <w:ind w:left="1440" w:hanging="360"/>
      </w:pPr>
    </w:lvl>
    <w:lvl w:ilvl="2" w:tplc="9EC092FA">
      <w:start w:val="1"/>
      <w:numFmt w:val="bullet"/>
      <w:lvlText w:val="■"/>
      <w:lvlJc w:val="left"/>
      <w:pPr>
        <w:ind w:left="2160" w:hanging="360"/>
      </w:pPr>
    </w:lvl>
    <w:lvl w:ilvl="3" w:tplc="E8385152">
      <w:start w:val="1"/>
      <w:numFmt w:val="bullet"/>
      <w:lvlText w:val="●"/>
      <w:lvlJc w:val="left"/>
      <w:pPr>
        <w:ind w:left="2880" w:hanging="360"/>
      </w:pPr>
    </w:lvl>
    <w:lvl w:ilvl="4" w:tplc="239A3EF2">
      <w:start w:val="1"/>
      <w:numFmt w:val="bullet"/>
      <w:lvlText w:val="○"/>
      <w:lvlJc w:val="left"/>
      <w:pPr>
        <w:ind w:left="3600" w:hanging="360"/>
      </w:pPr>
    </w:lvl>
    <w:lvl w:ilvl="5" w:tplc="18F60DE2">
      <w:start w:val="1"/>
      <w:numFmt w:val="bullet"/>
      <w:lvlText w:val="■"/>
      <w:lvlJc w:val="left"/>
      <w:pPr>
        <w:ind w:left="4320" w:hanging="360"/>
      </w:pPr>
    </w:lvl>
    <w:lvl w:ilvl="6" w:tplc="1B200E00">
      <w:start w:val="1"/>
      <w:numFmt w:val="bullet"/>
      <w:lvlText w:val="●"/>
      <w:lvlJc w:val="left"/>
      <w:pPr>
        <w:ind w:left="5040" w:hanging="360"/>
      </w:pPr>
    </w:lvl>
    <w:lvl w:ilvl="7" w:tplc="91B0B198">
      <w:start w:val="1"/>
      <w:numFmt w:val="bullet"/>
      <w:lvlText w:val="●"/>
      <w:lvlJc w:val="left"/>
      <w:pPr>
        <w:ind w:left="5760" w:hanging="360"/>
      </w:pPr>
    </w:lvl>
    <w:lvl w:ilvl="8" w:tplc="A544AE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C108E8"/>
    <w:rsid w:val="003D2686"/>
    <w:rsid w:val="00A6328F"/>
    <w:rsid w:val="00C1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1097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giubi perez</cp:lastModifiedBy>
  <cp:revision>3</cp:revision>
  <dcterms:created xsi:type="dcterms:W3CDTF">2026-09-24T16:01:00Z</dcterms:created>
  <dcterms:modified xsi:type="dcterms:W3CDTF">2026-09-24T16:14:00Z</dcterms:modified>
</cp:coreProperties>
</file>