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74B6" w14:textId="77777777" w:rsidR="000775B2" w:rsidRPr="000775B2" w:rsidRDefault="000775B2" w:rsidP="000775B2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0775B2">
        <w:rPr>
          <w:rFonts w:asciiTheme="majorHAnsi" w:hAnsiTheme="majorHAnsi"/>
          <w:b/>
          <w:bCs/>
          <w:sz w:val="40"/>
          <w:szCs w:val="40"/>
        </w:rPr>
        <w:t>09_quota_model Case study</w:t>
      </w:r>
    </w:p>
    <w:p w14:paraId="26A21EF2" w14:textId="77777777" w:rsidR="000775B2" w:rsidRDefault="000775B2" w:rsidP="00350A17">
      <w:pPr>
        <w:ind w:firstLine="720"/>
      </w:pPr>
      <w:r w:rsidRPr="000775B2">
        <w:rPr>
          <w:b/>
          <w:bCs/>
        </w:rPr>
        <w:t>Findings</w:t>
      </w:r>
      <w:r>
        <w:t>:</w:t>
      </w:r>
    </w:p>
    <w:p w14:paraId="3489DF90" w14:textId="77777777" w:rsidR="000775B2" w:rsidRPr="000775B2" w:rsidRDefault="000775B2" w:rsidP="000775B2">
      <w:pPr>
        <w:rPr>
          <w:rFonts w:ascii="Aptos Narrow" w:eastAsia="Times New Roman" w:hAnsi="Aptos Narrow" w:cs="Times New Roman"/>
          <w:kern w:val="0"/>
          <w:sz w:val="22"/>
          <w:szCs w:val="22"/>
          <w14:ligatures w14:val="none"/>
        </w:rPr>
      </w:pPr>
      <w:r w:rsidRPr="000775B2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 xml:space="preserve">The flat commission structure paid about $5.5 million more than a marginal </w:t>
      </w:r>
      <w:r w:rsidRPr="000775B2">
        <w:rPr>
          <w:rFonts w:ascii="Aptos Narrow" w:eastAsia="Times New Roman" w:hAnsi="Aptos Narrow" w:cs="Times New Roman"/>
          <w:kern w:val="0"/>
          <w:sz w:val="22"/>
          <w:szCs w:val="22"/>
          <w14:ligatures w14:val="none"/>
        </w:rPr>
        <w:t>structure would have over 2021 to 2025. The annual overpay grew from about</w:t>
      </w:r>
      <w:r>
        <w:rPr>
          <w:rFonts w:ascii="Aptos Narrow" w:eastAsia="Times New Roman" w:hAnsi="Aptos Narrow" w:cs="Times New Roman"/>
          <w:kern w:val="0"/>
          <w:sz w:val="22"/>
          <w:szCs w:val="22"/>
          <w14:ligatures w14:val="none"/>
        </w:rPr>
        <w:t xml:space="preserve"> </w:t>
      </w:r>
      <w:r w:rsidRPr="000775B2">
        <w:rPr>
          <w:rFonts w:ascii="Aptos Narrow" w:eastAsia="Times New Roman" w:hAnsi="Aptos Narrow" w:cs="Times New Roman"/>
          <w:kern w:val="0"/>
          <w:sz w:val="22"/>
          <w:szCs w:val="22"/>
          <w14:ligatures w14:val="none"/>
        </w:rPr>
        <w:t xml:space="preserve">$0.64 million in the first year to $1.57 million in the last, and it grew every year. </w:t>
      </w:r>
    </w:p>
    <w:p w14:paraId="28527340" w14:textId="77777777" w:rsidR="000775B2" w:rsidRDefault="000775B2" w:rsidP="000775B2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</w:pPr>
      <w:r w:rsidRPr="000775B2">
        <w:rPr>
          <w:rFonts w:ascii="Aptos Narrow" w:eastAsia="Times New Roman" w:hAnsi="Aptos Narrow" w:cs="Times New Roman"/>
          <w:color w:val="000000"/>
          <w:kern w:val="0"/>
          <w:sz w:val="22"/>
          <w:szCs w:val="22"/>
          <w14:ligatures w14:val="none"/>
        </w:rPr>
        <w:t>Over the same period (2021-2025) commissions more than doubled, while margin dollars grew only 62% and quota attainment stayed steady near 100%.</w:t>
      </w:r>
    </w:p>
    <w:p w14:paraId="7E1C3337" w14:textId="77777777" w:rsidR="00262728" w:rsidRDefault="00262728" w:rsidP="00350A17">
      <w:pPr>
        <w:ind w:firstLine="720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62728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  <w:t>Background:</w:t>
      </w:r>
    </w:p>
    <w:p w14:paraId="1AE5C470" w14:textId="77777777" w:rsidR="00262728" w:rsidRPr="00262728" w:rsidRDefault="00262728" w:rsidP="000775B2">
      <w:p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262728">
        <w:rPr>
          <w:rFonts w:eastAsia="Times New Roman" w:cs="Times New Roman"/>
          <w:kern w:val="0"/>
          <w:sz w:val="22"/>
          <w:szCs w:val="22"/>
          <w14:ligatures w14:val="none"/>
        </w:rPr>
        <w:t xml:space="preserve">The company noticed increasing payout </w:t>
      </w:r>
      <w:proofErr w:type="gramStart"/>
      <w:r w:rsidRPr="00262728">
        <w:rPr>
          <w:rFonts w:eastAsia="Times New Roman" w:cs="Times New Roman"/>
          <w:kern w:val="0"/>
          <w:sz w:val="22"/>
          <w:szCs w:val="22"/>
          <w14:ligatures w14:val="none"/>
        </w:rPr>
        <w:t>to</w:t>
      </w:r>
      <w:proofErr w:type="gramEnd"/>
      <w:r w:rsidRPr="00262728">
        <w:rPr>
          <w:rFonts w:eastAsia="Times New Roman" w:cs="Times New Roman"/>
          <w:kern w:val="0"/>
          <w:sz w:val="22"/>
          <w:szCs w:val="22"/>
          <w14:ligatures w14:val="none"/>
        </w:rPr>
        <w:t xml:space="preserve"> reps. For this reason, a study was commissioned to determine if payout was in line with company growth or if reps were being overpaid based upon the commission structure. </w:t>
      </w:r>
    </w:p>
    <w:p w14:paraId="7BADAF1C" w14:textId="77777777" w:rsidR="00262728" w:rsidRPr="00262728" w:rsidRDefault="00262728" w:rsidP="000775B2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14:ligatures w14:val="none"/>
        </w:rPr>
      </w:pPr>
      <w:r w:rsidRPr="00262728">
        <w:rPr>
          <w:rFonts w:eastAsia="Times New Roman" w:cs="Times New Roman"/>
          <w:kern w:val="0"/>
          <w:sz w:val="22"/>
          <w:szCs w:val="22"/>
          <w14:ligatures w14:val="none"/>
        </w:rPr>
        <w:t xml:space="preserve">This study undertook the task of determining if the current commission structure overpaid reps. Then a comparison was </w:t>
      </w:r>
      <w:proofErr w:type="gramStart"/>
      <w:r w:rsidRPr="00262728">
        <w:rPr>
          <w:rFonts w:eastAsia="Times New Roman" w:cs="Times New Roman"/>
          <w:kern w:val="0"/>
          <w:sz w:val="22"/>
          <w:szCs w:val="22"/>
          <w14:ligatures w14:val="none"/>
        </w:rPr>
        <w:t>done</w:t>
      </w:r>
      <w:proofErr w:type="gramEnd"/>
      <w:r w:rsidRPr="00262728">
        <w:rPr>
          <w:rFonts w:eastAsia="Times New Roman" w:cs="Times New Roman"/>
          <w:kern w:val="0"/>
          <w:sz w:val="22"/>
          <w:szCs w:val="22"/>
          <w14:ligatures w14:val="none"/>
        </w:rPr>
        <w:t xml:space="preserve"> of two alternate plans to give options for payout structures.</w:t>
      </w: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600" w:firstRow="0" w:lastRow="0" w:firstColumn="0" w:lastColumn="0" w:noHBand="1" w:noVBand="1"/>
      </w:tblPr>
      <w:tblGrid>
        <w:gridCol w:w="6624"/>
        <w:gridCol w:w="3744"/>
      </w:tblGrid>
      <w:tr w:rsidR="00976F9A" w14:paraId="6EA41994" w14:textId="77777777">
        <w:trPr>
          <w:cantSplit/>
        </w:trPr>
        <w:tc>
          <w:tcPr>
            <w:tcW w:w="6624" w:type="dxa"/>
            <w:vAlign w:val="center"/>
          </w:tcPr>
          <w:p w14:paraId="5123CEBD" w14:textId="77777777" w:rsidR="00976F9A" w:rsidRDefault="00000000">
            <w:r>
              <w:rPr>
                <w:noProof/>
              </w:rPr>
              <w:drawing>
                <wp:inline distT="0" distB="0" distL="0" distR="0" wp14:anchorId="4BDF7CAA" wp14:editId="78CEC297">
                  <wp:extent cx="4206240" cy="2377440"/>
                  <wp:effectExtent l="0" t="0" r="0" b="1905"/>
                  <wp:docPr id="2005972838" name="Picture 1" descr="Column chart of annual overpay of the flat commission structure versus a marginal structure, 2021 to 2025, rising from $0.64M to $1.57M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972838" name="Picture 1" descr="Column chart of annual overpay of the flat commission structure versus a marginal structure, 2021 to 2025, rising from $0.64M to $1.57M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240" cy="2377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vAlign w:val="center"/>
          </w:tcPr>
          <w:p w14:paraId="65BF1561" w14:textId="77777777" w:rsidR="00976F9A" w:rsidRDefault="00000000">
            <w:r>
              <w:rPr>
                <w:rFonts w:eastAsia="Times New Roman" w:cs="Times New Roman"/>
                <w:kern w:val="0"/>
                <w14:ligatures w14:val="none"/>
              </w:rPr>
              <w:t xml:space="preserve">Overpay </w:t>
            </w:r>
            <w:r w:rsidR="001E10FD">
              <w:rPr>
                <w:rFonts w:eastAsia="Times New Roman" w:cs="Times New Roman"/>
                <w:kern w:val="0"/>
                <w14:ligatures w14:val="none"/>
              </w:rPr>
              <w:t xml:space="preserve">more than doubled over the </w:t>
            </w:r>
            <w:proofErr w:type="gramStart"/>
            <w:r w:rsidR="00F51C2E">
              <w:rPr>
                <w:rFonts w:eastAsia="Times New Roman" w:cs="Times New Roman"/>
                <w:kern w:val="0"/>
                <w14:ligatures w14:val="none"/>
              </w:rPr>
              <w:t>5 year</w:t>
            </w:r>
            <w:proofErr w:type="gramEnd"/>
            <w:r w:rsidR="00F51C2E">
              <w:rPr>
                <w:rFonts w:eastAsia="Times New Roman" w:cs="Times New Roman"/>
                <w:kern w:val="0"/>
                <w14:ligatures w14:val="none"/>
              </w:rPr>
              <w:t xml:space="preserve"> span (2021-2025).</w:t>
            </w:r>
          </w:p>
        </w:tc>
      </w:tr>
      <w:tr w:rsidR="00976F9A" w14:paraId="219DBA0F" w14:textId="77777777">
        <w:trPr>
          <w:cantSplit/>
        </w:trPr>
        <w:tc>
          <w:tcPr>
            <w:tcW w:w="6624" w:type="dxa"/>
            <w:vAlign w:val="center"/>
          </w:tcPr>
          <w:p w14:paraId="28763FD3" w14:textId="77777777" w:rsidR="00976F9A" w:rsidRDefault="00000000">
            <w:r>
              <w:rPr>
                <w:noProof/>
              </w:rPr>
              <w:drawing>
                <wp:inline distT="0" distB="0" distL="0" distR="0" wp14:anchorId="1EE89D9B" wp14:editId="5CF2F403">
                  <wp:extent cx="4206240" cy="2377440"/>
                  <wp:effectExtent l="0" t="0" r="0" b="0"/>
                  <wp:docPr id="27" name="Chart 2" descr="Line chart comparing flat, indexed tier, and marginal payout rates with a 45 percent warning line." title="Payout rates by commission pla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906A6B7-8AB9-CAB5-375E-BBB8A40BBC9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</w:tc>
        <w:tc>
          <w:tcPr>
            <w:tcW w:w="3744" w:type="dxa"/>
            <w:vAlign w:val="center"/>
          </w:tcPr>
          <w:p w14:paraId="5B7B3B45" w14:textId="77777777" w:rsidR="00976F9A" w:rsidRDefault="00000000">
            <w:r>
              <w:rPr>
                <w:rFonts w:eastAsia="Times New Roman" w:cs="Times New Roman"/>
                <w:kern w:val="0"/>
                <w14:ligatures w14:val="none"/>
              </w:rPr>
              <w:t>Flat</w:t>
            </w:r>
            <w:r w:rsidR="00E256D8">
              <w:rPr>
                <w:rFonts w:eastAsia="Times New Roman" w:cs="Times New Roman"/>
                <w:kern w:val="0"/>
                <w14:ligatures w14:val="none"/>
              </w:rPr>
              <w:t xml:space="preserve"> payouts went above the </w:t>
            </w:r>
            <w:r w:rsidR="00A26827">
              <w:rPr>
                <w:rFonts w:eastAsia="Times New Roman" w:cs="Times New Roman"/>
                <w:kern w:val="0"/>
                <w14:ligatures w14:val="none"/>
              </w:rPr>
              <w:t>45% warning line in 2</w:t>
            </w:r>
            <w:r w:rsidR="00D92790">
              <w:rPr>
                <w:rFonts w:eastAsia="Times New Roman" w:cs="Times New Roman"/>
                <w:kern w:val="0"/>
                <w14:ligatures w14:val="none"/>
              </w:rPr>
              <w:t>023. Alternate</w:t>
            </w:r>
            <w:r w:rsidR="003B234C">
              <w:rPr>
                <w:rFonts w:eastAsia="Times New Roman" w:cs="Times New Roman"/>
                <w:kern w:val="0"/>
                <w14:ligatures w14:val="none"/>
              </w:rPr>
              <w:t xml:space="preserve">ly, Indexed &amp; marginal commission plans </w:t>
            </w:r>
            <w:r w:rsidR="00EC12E7">
              <w:rPr>
                <w:rFonts w:eastAsia="Times New Roman" w:cs="Times New Roman"/>
                <w:kern w:val="0"/>
                <w14:ligatures w14:val="none"/>
              </w:rPr>
              <w:t>remain well below the warning line, with indexed consistently around 40%.</w:t>
            </w:r>
          </w:p>
        </w:tc>
      </w:tr>
      <w:tr w:rsidR="00976F9A" w14:paraId="4E6FF1E5" w14:textId="77777777">
        <w:trPr>
          <w:cantSplit/>
        </w:trPr>
        <w:tc>
          <w:tcPr>
            <w:tcW w:w="6624" w:type="dxa"/>
            <w:vAlign w:val="center"/>
          </w:tcPr>
          <w:p w14:paraId="3AF78BD2" w14:textId="77777777" w:rsidR="00976F9A" w:rsidRDefault="00000000">
            <w:r>
              <w:rPr>
                <w:noProof/>
              </w:rPr>
              <w:lastRenderedPageBreak/>
              <w:drawing>
                <wp:inline distT="0" distB="0" distL="0" distR="0" wp14:anchorId="6F87F379" wp14:editId="4D9467BC">
                  <wp:extent cx="4206240" cy="2377440"/>
                  <wp:effectExtent l="0" t="0" r="0" b="0"/>
                  <wp:docPr id="28" name="Chart 3" descr="Line chart comparing indexed flat commission and margin dollar growth from 2021 through 2025." title="Commission growth versus margin growth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B7DC97-4F67-7E60-36D8-1B7B2962623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  <w:tc>
          <w:tcPr>
            <w:tcW w:w="3744" w:type="dxa"/>
            <w:vAlign w:val="center"/>
          </w:tcPr>
          <w:p w14:paraId="45BBBDDF" w14:textId="77777777" w:rsidR="00976F9A" w:rsidRDefault="00000000">
            <w:r w:rsidRPr="00C0052F">
              <w:rPr>
                <w:rFonts w:eastAsiaTheme="majorEastAsia" w:cs="Times New Roman"/>
                <w:kern w:val="0"/>
                <w14:ligatures w14:val="none"/>
              </w:rPr>
              <w:t>Through this case study it was revealed that the commissions were increasing at a much faster rate than were margin dollars</w:t>
            </w:r>
            <w:r>
              <w:rPr>
                <w:rFonts w:eastAsiaTheme="majorEastAsia" w:cs="Times New Roman"/>
                <w:kern w:val="0"/>
                <w14:ligatures w14:val="none"/>
              </w:rPr>
              <w:t xml:space="preserve">. </w:t>
            </w:r>
            <w:r>
              <w:t xml:space="preserve">Commissions </w:t>
            </w:r>
            <w:r w:rsidR="00140335">
              <w:t>rose</w:t>
            </w:r>
            <w:r>
              <w:t xml:space="preserve"> 108% </w:t>
            </w:r>
            <w:r w:rsidR="00451A87">
              <w:t xml:space="preserve">from </w:t>
            </w:r>
            <w:r>
              <w:t>2021</w:t>
            </w:r>
            <w:r w:rsidR="00975DB7">
              <w:t xml:space="preserve"> to </w:t>
            </w:r>
            <w:r>
              <w:t>2025</w:t>
            </w:r>
            <w:r w:rsidR="00451A87">
              <w:t>;</w:t>
            </w:r>
            <w:r>
              <w:t xml:space="preserve"> </w:t>
            </w:r>
            <w:proofErr w:type="gramStart"/>
            <w:r w:rsidR="00975DB7">
              <w:t>m</w:t>
            </w:r>
            <w:r>
              <w:t>argin dollars</w:t>
            </w:r>
            <w:proofErr w:type="gramEnd"/>
            <w:r>
              <w:t xml:space="preserve"> up 62%</w:t>
            </w:r>
            <w:r w:rsidR="00451A87">
              <w:t>.</w:t>
            </w:r>
          </w:p>
        </w:tc>
      </w:tr>
    </w:tbl>
    <w:p w14:paraId="379FCEE2" w14:textId="77777777" w:rsidR="000775B2" w:rsidRDefault="000775B2"/>
    <w:p w14:paraId="08D09523" w14:textId="77777777" w:rsidR="002F00A7" w:rsidRDefault="002F00A7" w:rsidP="009942F9">
      <w:pPr>
        <w:ind w:firstLine="720"/>
        <w:rPr>
          <w:b/>
          <w:bCs/>
        </w:rPr>
      </w:pPr>
      <w:r w:rsidRPr="002F00A7">
        <w:rPr>
          <w:b/>
          <w:bCs/>
        </w:rPr>
        <w:t>Recommendations:</w:t>
      </w:r>
    </w:p>
    <w:p w14:paraId="44F61BCF" w14:textId="77777777" w:rsidR="004F2825" w:rsidRPr="009916D1" w:rsidRDefault="00483B9F">
      <w:pPr>
        <w:rPr>
          <w:rFonts w:ascii="Aptos Narrow" w:hAnsi="Aptos Narrow"/>
          <w:sz w:val="22"/>
          <w:szCs w:val="22"/>
        </w:rPr>
      </w:pPr>
      <w:r w:rsidRPr="009916D1">
        <w:rPr>
          <w:rFonts w:ascii="Aptos Narrow" w:hAnsi="Aptos Narrow"/>
          <w:sz w:val="22"/>
          <w:szCs w:val="22"/>
        </w:rPr>
        <w:t xml:space="preserve">Index the </w:t>
      </w:r>
      <w:r w:rsidR="00717911" w:rsidRPr="009916D1">
        <w:rPr>
          <w:rFonts w:ascii="Aptos Narrow" w:hAnsi="Aptos Narrow"/>
          <w:sz w:val="22"/>
          <w:szCs w:val="22"/>
        </w:rPr>
        <w:t>tiers to align with the company growth target.</w:t>
      </w:r>
      <w:r w:rsidR="000008A5" w:rsidRPr="009916D1">
        <w:rPr>
          <w:rFonts w:ascii="Aptos Narrow" w:hAnsi="Aptos Narrow"/>
          <w:sz w:val="22"/>
          <w:szCs w:val="22"/>
        </w:rPr>
        <w:t xml:space="preserve"> This effectively keeps the payout rate below the 45%</w:t>
      </w:r>
      <w:r w:rsidR="00CE2D1B">
        <w:rPr>
          <w:rFonts w:ascii="Aptos Narrow" w:hAnsi="Aptos Narrow"/>
          <w:sz w:val="22"/>
          <w:szCs w:val="22"/>
        </w:rPr>
        <w:t xml:space="preserve"> </w:t>
      </w:r>
      <w:r w:rsidR="006D2F30">
        <w:rPr>
          <w:rFonts w:ascii="Aptos Narrow" w:hAnsi="Aptos Narrow"/>
          <w:sz w:val="22"/>
          <w:szCs w:val="22"/>
        </w:rPr>
        <w:t>target line</w:t>
      </w:r>
      <w:r w:rsidR="004529FD" w:rsidRPr="009916D1">
        <w:rPr>
          <w:rFonts w:ascii="Aptos Narrow" w:hAnsi="Aptos Narrow"/>
          <w:sz w:val="22"/>
          <w:szCs w:val="22"/>
        </w:rPr>
        <w:t>.</w:t>
      </w:r>
      <w:r w:rsidR="0079071F" w:rsidRPr="009916D1">
        <w:rPr>
          <w:rFonts w:ascii="Aptos Narrow" w:hAnsi="Aptos Narrow"/>
          <w:sz w:val="22"/>
          <w:szCs w:val="22"/>
        </w:rPr>
        <w:t xml:space="preserve"> </w:t>
      </w:r>
    </w:p>
    <w:p w14:paraId="3095A19A" w14:textId="77777777" w:rsidR="00D53A9A" w:rsidRPr="009916D1" w:rsidRDefault="00D53A9A">
      <w:r w:rsidRPr="009916D1">
        <w:rPr>
          <w:rFonts w:ascii="Aptos Narrow" w:hAnsi="Aptos Narrow"/>
          <w:sz w:val="22"/>
          <w:szCs w:val="22"/>
        </w:rPr>
        <w:t xml:space="preserve">The indexed plan effectively keeps the payout </w:t>
      </w:r>
      <w:r w:rsidR="00607314" w:rsidRPr="009916D1">
        <w:rPr>
          <w:rFonts w:ascii="Aptos Narrow" w:hAnsi="Aptos Narrow"/>
          <w:sz w:val="22"/>
          <w:szCs w:val="22"/>
        </w:rPr>
        <w:t xml:space="preserve">rate around 40% versus the current plan </w:t>
      </w:r>
      <w:r w:rsidR="00514163" w:rsidRPr="009916D1">
        <w:rPr>
          <w:rFonts w:ascii="Aptos Narrow" w:hAnsi="Aptos Narrow"/>
          <w:sz w:val="22"/>
          <w:szCs w:val="22"/>
        </w:rPr>
        <w:t>which has ballooned to over 50% and heading towar</w:t>
      </w:r>
      <w:r w:rsidR="007E48BC" w:rsidRPr="009916D1">
        <w:rPr>
          <w:rFonts w:ascii="Aptos Narrow" w:hAnsi="Aptos Narrow"/>
          <w:sz w:val="22"/>
          <w:szCs w:val="22"/>
        </w:rPr>
        <w:t xml:space="preserve">ds the 60% threshold. A switch to this plan has an estimated effect of saving </w:t>
      </w:r>
      <w:r w:rsidR="00C57B22" w:rsidRPr="009916D1">
        <w:rPr>
          <w:rFonts w:ascii="Aptos Narrow" w:hAnsi="Aptos Narrow"/>
          <w:sz w:val="22"/>
          <w:szCs w:val="22"/>
        </w:rPr>
        <w:t>~$3.1M over 5 years as compared to the current plan.</w:t>
      </w:r>
    </w:p>
    <w:p w14:paraId="77655CC5" w14:textId="77777777" w:rsidR="00DE7139" w:rsidRDefault="00DE7139">
      <w:pPr>
        <w:rPr>
          <w:b/>
          <w:bCs/>
        </w:rPr>
      </w:pPr>
    </w:p>
    <w:p w14:paraId="06A4EAE1" w14:textId="77777777" w:rsidR="009A3CB8" w:rsidRDefault="009A3CB8" w:rsidP="009942F9">
      <w:pPr>
        <w:ind w:firstLine="720"/>
        <w:rPr>
          <w:b/>
          <w:bCs/>
        </w:rPr>
      </w:pPr>
      <w:r>
        <w:rPr>
          <w:b/>
          <w:bCs/>
        </w:rPr>
        <w:t>Limits:</w:t>
      </w:r>
    </w:p>
    <w:p w14:paraId="7FD37035" w14:textId="77777777" w:rsidR="00DE7139" w:rsidRPr="002E63AE" w:rsidRDefault="00DE7139">
      <w:pPr>
        <w:rPr>
          <w:sz w:val="22"/>
          <w:szCs w:val="22"/>
        </w:rPr>
      </w:pPr>
      <w:r w:rsidRPr="002E63AE">
        <w:rPr>
          <w:sz w:val="22"/>
          <w:szCs w:val="22"/>
        </w:rPr>
        <w:t xml:space="preserve">With this being a synthetic set of data, the </w:t>
      </w:r>
      <w:r w:rsidR="002E63AE" w:rsidRPr="002E63AE">
        <w:rPr>
          <w:sz w:val="22"/>
          <w:szCs w:val="22"/>
        </w:rPr>
        <w:t xml:space="preserve">outcomes are based solely on numbers. There are no behavioral considerations </w:t>
      </w:r>
      <w:proofErr w:type="gramStart"/>
      <w:r w:rsidR="002E63AE" w:rsidRPr="002E63AE">
        <w:rPr>
          <w:sz w:val="22"/>
          <w:szCs w:val="22"/>
        </w:rPr>
        <w:t>taken into account</w:t>
      </w:r>
      <w:proofErr w:type="gramEnd"/>
      <w:r w:rsidR="002E63AE" w:rsidRPr="002E63AE">
        <w:rPr>
          <w:sz w:val="22"/>
          <w:szCs w:val="22"/>
        </w:rPr>
        <w:t>.</w:t>
      </w:r>
      <w:r w:rsidR="003A317C">
        <w:rPr>
          <w:sz w:val="22"/>
          <w:szCs w:val="22"/>
        </w:rPr>
        <w:t xml:space="preserve"> </w:t>
      </w:r>
    </w:p>
    <w:p w14:paraId="6D84A37A" w14:textId="77777777" w:rsidR="00DE7139" w:rsidRPr="002F00A7" w:rsidRDefault="00DE7139">
      <w:pPr>
        <w:rPr>
          <w:b/>
          <w:bCs/>
        </w:rPr>
      </w:pPr>
    </w:p>
    <w:p w14:paraId="148073D6" w14:textId="77777777" w:rsidR="000775B2" w:rsidRDefault="000775B2" w:rsidP="0007720A"/>
    <w:sectPr w:rsidR="000775B2" w:rsidSect="004233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B2"/>
    <w:rsid w:val="000008A5"/>
    <w:rsid w:val="0007720A"/>
    <w:rsid w:val="000775B2"/>
    <w:rsid w:val="00087AE4"/>
    <w:rsid w:val="000A66C0"/>
    <w:rsid w:val="000A6C4E"/>
    <w:rsid w:val="000D7DAC"/>
    <w:rsid w:val="00140335"/>
    <w:rsid w:val="0019007E"/>
    <w:rsid w:val="001A5293"/>
    <w:rsid w:val="001D2B98"/>
    <w:rsid w:val="001E10FD"/>
    <w:rsid w:val="001E2DC9"/>
    <w:rsid w:val="002452DE"/>
    <w:rsid w:val="002502A5"/>
    <w:rsid w:val="00262728"/>
    <w:rsid w:val="002E63AE"/>
    <w:rsid w:val="002F00A7"/>
    <w:rsid w:val="00350A17"/>
    <w:rsid w:val="003A317C"/>
    <w:rsid w:val="003B234C"/>
    <w:rsid w:val="00423390"/>
    <w:rsid w:val="00451A87"/>
    <w:rsid w:val="004529FD"/>
    <w:rsid w:val="00483B9F"/>
    <w:rsid w:val="004A0597"/>
    <w:rsid w:val="004D1A67"/>
    <w:rsid w:val="004E59AF"/>
    <w:rsid w:val="004F2825"/>
    <w:rsid w:val="004F5577"/>
    <w:rsid w:val="00514163"/>
    <w:rsid w:val="0058721C"/>
    <w:rsid w:val="005940AB"/>
    <w:rsid w:val="00607314"/>
    <w:rsid w:val="006D2F30"/>
    <w:rsid w:val="006F028E"/>
    <w:rsid w:val="0071565E"/>
    <w:rsid w:val="00717911"/>
    <w:rsid w:val="00720498"/>
    <w:rsid w:val="0079071F"/>
    <w:rsid w:val="007E48BC"/>
    <w:rsid w:val="00842C08"/>
    <w:rsid w:val="008A1EAA"/>
    <w:rsid w:val="008E0BA8"/>
    <w:rsid w:val="009016C1"/>
    <w:rsid w:val="009133E7"/>
    <w:rsid w:val="00943F6D"/>
    <w:rsid w:val="00975DB7"/>
    <w:rsid w:val="00976F9A"/>
    <w:rsid w:val="009916D1"/>
    <w:rsid w:val="009942F9"/>
    <w:rsid w:val="00994818"/>
    <w:rsid w:val="009A0D97"/>
    <w:rsid w:val="009A3CB8"/>
    <w:rsid w:val="00A214B9"/>
    <w:rsid w:val="00A26827"/>
    <w:rsid w:val="00A32A44"/>
    <w:rsid w:val="00A63577"/>
    <w:rsid w:val="00AD19E4"/>
    <w:rsid w:val="00B130C4"/>
    <w:rsid w:val="00BA5E6C"/>
    <w:rsid w:val="00BB0E09"/>
    <w:rsid w:val="00C0052F"/>
    <w:rsid w:val="00C25FFD"/>
    <w:rsid w:val="00C542DB"/>
    <w:rsid w:val="00C57B22"/>
    <w:rsid w:val="00C65F13"/>
    <w:rsid w:val="00C946A2"/>
    <w:rsid w:val="00CD4FF3"/>
    <w:rsid w:val="00CE2D1B"/>
    <w:rsid w:val="00D13FFF"/>
    <w:rsid w:val="00D53A9A"/>
    <w:rsid w:val="00D92790"/>
    <w:rsid w:val="00DE7139"/>
    <w:rsid w:val="00E126D0"/>
    <w:rsid w:val="00E256D8"/>
    <w:rsid w:val="00E406A3"/>
    <w:rsid w:val="00EC12E7"/>
    <w:rsid w:val="00F51C2E"/>
    <w:rsid w:val="00F7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5A52"/>
  <w15:chartTrackingRefBased/>
  <w15:docId w15:val="{77B224A2-A7B9-4832-9915-14B16CBF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65E"/>
  </w:style>
  <w:style w:type="paragraph" w:styleId="Heading1">
    <w:name w:val="heading 1"/>
    <w:basedOn w:val="Normal"/>
    <w:next w:val="Normal"/>
    <w:link w:val="Heading1Char"/>
    <w:uiPriority w:val="9"/>
    <w:qFormat/>
    <w:rsid w:val="0007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glen\Downloads\09_quota_model_1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glen\Downloads\09_quota_model_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rgbClr val="1F1F1F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Flat payout rate passes the 45% warning line in 2023; indexed tiers hold near 40%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Charts!$L$23</c:f>
              <c:strCache>
                <c:ptCount val="1"/>
                <c:pt idx="0">
                  <c:v>Flat </c:v>
                </c:pt>
              </c:strCache>
            </c:strRef>
          </c:tx>
          <c:spPr>
            <a:ln w="38100" cap="rnd">
              <a:solidFill>
                <a:srgbClr val="1F4D1F"/>
              </a:solidFill>
              <a:prstDash val="solid"/>
              <a:round/>
            </a:ln>
            <a:effectLst/>
          </c:spPr>
          <c:marker>
            <c:symbol val="none"/>
          </c:marker>
          <c:dLbls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 b="1">
                      <a:solidFill>
                        <a:srgbClr val="1F4D1F"/>
                      </a:solidFill>
                    </a:defRPr>
                  </a:pPr>
                  <a:endParaRPr lang="en-US"/>
                </a:p>
              </c:txPr>
              <c:dLblPos val="t"/>
              <c:showLegendKey val="0"/>
              <c:showVal val="0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26FC-48CA-8BF0-887139764681}"/>
                </c:ext>
              </c:extLst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Charts!$K$24:$K$28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Charts!$L$24:$L$28</c:f>
              <c:numCache>
                <c:formatCode>0.00%</c:formatCode>
                <c:ptCount val="5"/>
                <c:pt idx="0">
                  <c:v>0.40565589449793726</c:v>
                </c:pt>
                <c:pt idx="1">
                  <c:v>0.43750424755414352</c:v>
                </c:pt>
                <c:pt idx="2">
                  <c:v>0.463738600704521</c:v>
                </c:pt>
                <c:pt idx="3">
                  <c:v>0.49538048230178144</c:v>
                </c:pt>
                <c:pt idx="4">
                  <c:v>0.51990084365038514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6FC-48CA-8BF0-887139764681}"/>
            </c:ext>
          </c:extLst>
        </c:ser>
        <c:ser>
          <c:idx val="1"/>
          <c:order val="1"/>
          <c:tx>
            <c:strRef>
              <c:f>Charts!$M$23</c:f>
              <c:strCache>
                <c:ptCount val="1"/>
                <c:pt idx="0">
                  <c:v>Indexed tiers</c:v>
                </c:pt>
              </c:strCache>
            </c:strRef>
          </c:tx>
          <c:spPr>
            <a:ln w="28575" cap="rnd">
              <a:solidFill>
                <a:srgbClr val="2E75B6"/>
              </a:solidFill>
              <a:prstDash val="solid"/>
              <a:round/>
            </a:ln>
            <a:effectLst/>
          </c:spPr>
          <c:marker>
            <c:symbol val="none"/>
          </c:marker>
          <c:dLbls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 b="1">
                      <a:solidFill>
                        <a:srgbClr val="2E75B6"/>
                      </a:solidFill>
                    </a:defRPr>
                  </a:pPr>
                  <a:endParaRPr lang="en-US"/>
                </a:p>
              </c:txPr>
              <c:dLblPos val="t"/>
              <c:showLegendKey val="0"/>
              <c:showVal val="0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6FC-48CA-8BF0-887139764681}"/>
                </c:ext>
              </c:extLst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Charts!$K$24:$K$28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Charts!$M$24:$M$28</c:f>
              <c:numCache>
                <c:formatCode>0.00%</c:formatCode>
                <c:ptCount val="5"/>
                <c:pt idx="0">
                  <c:v>0.40565589449793726</c:v>
                </c:pt>
                <c:pt idx="1">
                  <c:v>0.4031321847065526</c:v>
                </c:pt>
                <c:pt idx="2">
                  <c:v>0.39779307643700412</c:v>
                </c:pt>
                <c:pt idx="3">
                  <c:v>0.39766491462171283</c:v>
                </c:pt>
                <c:pt idx="4">
                  <c:v>0.39402613151740828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6FC-48CA-8BF0-887139764681}"/>
            </c:ext>
          </c:extLst>
        </c:ser>
        <c:ser>
          <c:idx val="2"/>
          <c:order val="2"/>
          <c:tx>
            <c:strRef>
              <c:f>Charts!$N$23</c:f>
              <c:strCache>
                <c:ptCount val="1"/>
                <c:pt idx="0">
                  <c:v>Marginal</c:v>
                </c:pt>
              </c:strCache>
            </c:strRef>
          </c:tx>
          <c:spPr>
            <a:ln w="19050" cap="rnd">
              <a:solidFill>
                <a:srgbClr val="BFBFBF"/>
              </a:solidFill>
              <a:prstDash val="solid"/>
              <a:round/>
            </a:ln>
            <a:effectLst/>
          </c:spPr>
          <c:marker>
            <c:symbol val="none"/>
          </c:marker>
          <c:dLbls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 b="1">
                      <a:solidFill>
                        <a:srgbClr val="7F7F7F"/>
                      </a:solidFill>
                    </a:defRPr>
                  </a:pPr>
                  <a:endParaRPr lang="en-US"/>
                </a:p>
              </c:txPr>
              <c:dLblPos val="b"/>
              <c:showLegendKey val="0"/>
              <c:showVal val="0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6FC-48CA-8BF0-887139764681}"/>
                </c:ext>
              </c:extLst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Charts!$K$24:$K$28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Charts!$N$24:$N$28</c:f>
              <c:numCache>
                <c:formatCode>0.00%</c:formatCode>
                <c:ptCount val="5"/>
                <c:pt idx="0">
                  <c:v>0.3079255130392996</c:v>
                </c:pt>
                <c:pt idx="1">
                  <c:v>0.32200407425594968</c:v>
                </c:pt>
                <c:pt idx="2">
                  <c:v>0.33690980832652778</c:v>
                </c:pt>
                <c:pt idx="3">
                  <c:v>0.35547018608264735</c:v>
                </c:pt>
                <c:pt idx="4">
                  <c:v>0.37255383397439273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26FC-48CA-8BF0-887139764681}"/>
            </c:ext>
          </c:extLst>
        </c:ser>
        <c:ser>
          <c:idx val="3"/>
          <c:order val="3"/>
          <c:tx>
            <c:strRef>
              <c:f>Charts!$O$23</c:f>
              <c:strCache>
                <c:ptCount val="1"/>
                <c:pt idx="0">
                  <c:v>Warning line</c:v>
                </c:pt>
              </c:strCache>
            </c:strRef>
          </c:tx>
          <c:spPr>
            <a:ln w="12700" cap="rnd">
              <a:solidFill>
                <a:srgbClr val="595959"/>
              </a:solidFill>
              <a:prstDash val="dash"/>
              <a:round/>
            </a:ln>
            <a:effectLst/>
          </c:spPr>
          <c:marker>
            <c:symbol val="none"/>
          </c:marker>
          <c:dLbls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 b="1">
                      <a:solidFill>
                        <a:srgbClr val="595959"/>
                      </a:solidFill>
                    </a:defRPr>
                  </a:pPr>
                  <a:endParaRPr lang="en-US"/>
                </a:p>
              </c:txPr>
              <c:dLblPos val="t"/>
              <c:showLegendKey val="0"/>
              <c:showVal val="0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6FC-48CA-8BF0-887139764681}"/>
                </c:ext>
              </c:extLst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Charts!$K$24:$K$28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Charts!$O$24:$O$28</c:f>
              <c:numCache>
                <c:formatCode>0%</c:formatCode>
                <c:ptCount val="5"/>
                <c:pt idx="0">
                  <c:v>0.45</c:v>
                </c:pt>
                <c:pt idx="1">
                  <c:v>0.45</c:v>
                </c:pt>
                <c:pt idx="2">
                  <c:v>0.45</c:v>
                </c:pt>
                <c:pt idx="3">
                  <c:v>0.45</c:v>
                </c:pt>
                <c:pt idx="4">
                  <c:v>0.45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26FC-48CA-8BF0-8871397646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56152383"/>
        <c:axId val="1575522383"/>
      </c:lineChart>
      <c:catAx>
        <c:axId val="11561523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40404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5522383"/>
        <c:crosses val="autoZero"/>
        <c:auto val="1"/>
        <c:lblAlgn val="ctr"/>
        <c:lblOffset val="100"/>
        <c:noMultiLvlLbl val="0"/>
      </c:catAx>
      <c:valAx>
        <c:axId val="1575522383"/>
        <c:scaling>
          <c:orientation val="minMax"/>
          <c:max val="0.55000000000000004"/>
          <c:min val="0.25"/>
        </c:scaling>
        <c:delete val="0"/>
        <c:axPos val="l"/>
        <c:numFmt formatCode="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40404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6152383"/>
        <c:crosses val="autoZero"/>
        <c:crossBetween val="between"/>
        <c:majorUnit val="0.05"/>
      </c:valAx>
      <c:spPr>
        <a:solidFill>
          <a:srgbClr val="FFFFFF"/>
        </a:soli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FFFFFF"/>
    </a:solidFill>
    <a:ln w="9525" cap="flat" cmpd="sng" algn="ctr">
      <a:solidFill>
        <a:srgbClr val="BFBFBF"/>
      </a:solidFill>
      <a:prstDash val="solid"/>
      <a:round/>
      <a:headEnd type="none" w="med" len="med"/>
      <a:tailEnd type="none" w="med" len="med"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rgbClr val="1F1F1F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Flat commissions grew 2.1x while margin dollars grew 1.6x, 2021 to 2025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Charts!$L$42</c:f>
              <c:strCache>
                <c:ptCount val="1"/>
                <c:pt idx="0">
                  <c:v>Flat commissions</c:v>
                </c:pt>
              </c:strCache>
            </c:strRef>
          </c:tx>
          <c:spPr>
            <a:ln w="38100" cap="rnd">
              <a:solidFill>
                <a:srgbClr val="1F4D1F"/>
              </a:solidFill>
              <a:prstDash val="solid"/>
              <a:round/>
            </a:ln>
            <a:effectLst/>
          </c:spPr>
          <c:marker>
            <c:symbol val="none"/>
          </c:marker>
          <c:dLbls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 b="1">
                      <a:solidFill>
                        <a:srgbClr val="1F4D1F"/>
                      </a:solidFill>
                    </a:defRPr>
                  </a:pPr>
                  <a:endParaRPr lang="en-US"/>
                </a:p>
              </c:txPr>
              <c:dLblPos val="t"/>
              <c:showLegendKey val="0"/>
              <c:showVal val="0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DC31-4B4F-92E3-1C46A13C4F6A}"/>
                </c:ext>
              </c:extLst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Charts!$K$43:$K$47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Charts!$L$43:$L$47</c:f>
              <c:numCache>
                <c:formatCode>0.00</c:formatCode>
                <c:ptCount val="5"/>
                <c:pt idx="0">
                  <c:v>1</c:v>
                </c:pt>
                <c:pt idx="1">
                  <c:v>1.2071224755211394</c:v>
                </c:pt>
                <c:pt idx="2">
                  <c:v>1.4778287695178407</c:v>
                </c:pt>
                <c:pt idx="3">
                  <c:v>1.779277259230599</c:v>
                </c:pt>
                <c:pt idx="4">
                  <c:v>2.0815533675733779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C31-4B4F-92E3-1C46A13C4F6A}"/>
            </c:ext>
          </c:extLst>
        </c:ser>
        <c:ser>
          <c:idx val="1"/>
          <c:order val="1"/>
          <c:tx>
            <c:strRef>
              <c:f>Charts!$M$42</c:f>
              <c:strCache>
                <c:ptCount val="1"/>
                <c:pt idx="0">
                  <c:v>Margin dollars</c:v>
                </c:pt>
              </c:strCache>
            </c:strRef>
          </c:tx>
          <c:spPr>
            <a:ln w="28575" cap="rnd">
              <a:solidFill>
                <a:srgbClr val="BFBFBF"/>
              </a:solidFill>
              <a:prstDash val="solid"/>
              <a:round/>
            </a:ln>
            <a:effectLst/>
          </c:spPr>
          <c:marker>
            <c:symbol val="none"/>
          </c:marker>
          <c:dLbls>
            <c:dLbl>
              <c:idx val="4"/>
              <c:spPr>
                <a:noFill/>
                <a:ln>
                  <a:noFill/>
                </a:ln>
              </c:spPr>
              <c:txPr>
                <a:bodyPr/>
                <a:lstStyle/>
                <a:p>
                  <a:pPr>
                    <a:defRPr sz="900" b="1">
                      <a:solidFill>
                        <a:srgbClr val="7F7F7F"/>
                      </a:solidFill>
                    </a:defRPr>
                  </a:pPr>
                  <a:endParaRPr lang="en-US"/>
                </a:p>
              </c:txPr>
              <c:dLblPos val="b"/>
              <c:showLegendKey val="0"/>
              <c:showVal val="0"/>
              <c:showCatName val="0"/>
              <c:showSerName val="1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C31-4B4F-92E3-1C46A13C4F6A}"/>
                </c:ext>
              </c:extLst>
            </c:dLbl>
            <c:spPr>
              <a:noFill/>
              <a:ln>
                <a:noFill/>
              </a:ln>
            </c:spPr>
            <c:showLegendKey val="0"/>
            <c:showVal val="0"/>
            <c:showCatName val="0"/>
            <c:showSerName val="0"/>
            <c:showPercent val="0"/>
            <c:showBubbleSize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Charts!$K$43:$K$47</c:f>
              <c:numCache>
                <c:formatCode>General</c:formatCode>
                <c:ptCount val="5"/>
                <c:pt idx="0">
                  <c:v>2021</c:v>
                </c:pt>
                <c:pt idx="1">
                  <c:v>2022</c:v>
                </c:pt>
                <c:pt idx="2">
                  <c:v>2023</c:v>
                </c:pt>
                <c:pt idx="3">
                  <c:v>2024</c:v>
                </c:pt>
                <c:pt idx="4">
                  <c:v>2025</c:v>
                </c:pt>
              </c:numCache>
            </c:numRef>
          </c:cat>
          <c:val>
            <c:numRef>
              <c:f>Charts!$M$43:$M$47</c:f>
              <c:numCache>
                <c:formatCode>0.00</c:formatCode>
                <c:ptCount val="5"/>
                <c:pt idx="0">
                  <c:v>1</c:v>
                </c:pt>
                <c:pt idx="1">
                  <c:v>1.1192493565802284</c:v>
                </c:pt>
                <c:pt idx="2">
                  <c:v>1.2927324801144189</c:v>
                </c:pt>
                <c:pt idx="3">
                  <c:v>1.4570099831129968</c:v>
                </c:pt>
                <c:pt idx="4">
                  <c:v>1.6241450722399626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C31-4B4F-92E3-1C46A13C4F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48897375"/>
        <c:axId val="1573905423"/>
      </c:lineChart>
      <c:catAx>
        <c:axId val="14488973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40404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3905423"/>
        <c:crosses val="autoZero"/>
        <c:auto val="1"/>
        <c:lblAlgn val="ctr"/>
        <c:lblOffset val="100"/>
        <c:noMultiLvlLbl val="0"/>
      </c:catAx>
      <c:valAx>
        <c:axId val="1573905423"/>
        <c:scaling>
          <c:orientation val="minMax"/>
          <c:max val="2.5"/>
          <c:min val="0.5"/>
        </c:scaling>
        <c:delete val="0"/>
        <c:axPos val="l"/>
        <c:numFmt formatCode="0.0\x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rgbClr val="40404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48897375"/>
        <c:crosses val="autoZero"/>
        <c:crossBetween val="between"/>
        <c:majorUnit val="0.5"/>
      </c:valAx>
      <c:spPr>
        <a:solidFill>
          <a:srgbClr val="FFFFFF"/>
        </a:solidFill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rgbClr val="FFFFFF"/>
    </a:solidFill>
    <a:ln w="9525" cap="flat" cmpd="sng" algn="ctr">
      <a:solidFill>
        <a:srgbClr val="BFBFBF"/>
      </a:solidFill>
      <a:prstDash val="solid"/>
      <a:round/>
      <a:headEnd type="none" w="med" len="med"/>
      <a:tailEnd type="none" w="med" len="med"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Glenn</dc:creator>
  <cp:keywords/>
  <dc:description/>
  <cp:lastModifiedBy>J Glenn</cp:lastModifiedBy>
  <cp:revision>2</cp:revision>
  <dcterms:created xsi:type="dcterms:W3CDTF">2026-10-28T15:34:00Z</dcterms:created>
  <dcterms:modified xsi:type="dcterms:W3CDTF">2026-10-28T15:34:00Z</dcterms:modified>
</cp:coreProperties>
</file>