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B904E" w14:textId="61CF79B9" w:rsidR="002002E8" w:rsidRDefault="002002E8">
      <w:r>
        <w:rPr>
          <w:noProof/>
        </w:rPr>
        <w:drawing>
          <wp:inline distT="0" distB="0" distL="0" distR="0" wp14:anchorId="1CD9916E" wp14:editId="61ACEFC4">
            <wp:extent cx="4810125" cy="7800975"/>
            <wp:effectExtent l="0" t="0" r="9525" b="9525"/>
            <wp:docPr id="1" name="Picture 1"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 screenshot&#10;&#10;Description automatically generated"/>
                    <pic:cNvPicPr/>
                  </pic:nvPicPr>
                  <pic:blipFill>
                    <a:blip r:embed="rId5"/>
                    <a:stretch>
                      <a:fillRect/>
                    </a:stretch>
                  </pic:blipFill>
                  <pic:spPr>
                    <a:xfrm>
                      <a:off x="0" y="0"/>
                      <a:ext cx="4810125" cy="7800975"/>
                    </a:xfrm>
                    <a:prstGeom prst="rect">
                      <a:avLst/>
                    </a:prstGeom>
                  </pic:spPr>
                </pic:pic>
              </a:graphicData>
            </a:graphic>
          </wp:inline>
        </w:drawing>
      </w:r>
    </w:p>
    <w:p w14:paraId="6F7D88DE" w14:textId="063CDF73" w:rsidR="002002E8" w:rsidRDefault="002002E8"/>
    <w:p w14:paraId="47D9A5C5" w14:textId="77777777" w:rsidR="002002E8" w:rsidRPr="002002E8" w:rsidRDefault="002002E8" w:rsidP="002002E8">
      <w:pPr>
        <w:spacing w:before="100" w:beforeAutospacing="1" w:after="100" w:afterAutospacing="1" w:line="240" w:lineRule="auto"/>
        <w:outlineLvl w:val="1"/>
        <w:rPr>
          <w:rFonts w:ascii="Times New Roman" w:eastAsia="Times New Roman" w:hAnsi="Times New Roman" w:cs="Times New Roman"/>
          <w:b/>
          <w:bCs/>
          <w:sz w:val="36"/>
          <w:szCs w:val="36"/>
        </w:rPr>
      </w:pPr>
      <w:r w:rsidRPr="002002E8">
        <w:rPr>
          <w:rFonts w:ascii="Times New Roman" w:eastAsia="Times New Roman" w:hAnsi="Times New Roman" w:cs="Times New Roman"/>
          <w:b/>
          <w:bCs/>
          <w:sz w:val="36"/>
          <w:szCs w:val="36"/>
        </w:rPr>
        <w:lastRenderedPageBreak/>
        <w:t>Solubility Guidelines*</w:t>
      </w:r>
    </w:p>
    <w:p w14:paraId="03B948EB" w14:textId="77777777" w:rsidR="002002E8" w:rsidRPr="002002E8" w:rsidRDefault="002002E8" w:rsidP="002002E8">
      <w:pPr>
        <w:spacing w:before="100" w:beforeAutospacing="1" w:after="100" w:afterAutospacing="1" w:line="240" w:lineRule="auto"/>
        <w:rPr>
          <w:rFonts w:ascii="Times New Roman" w:eastAsia="Times New Roman" w:hAnsi="Times New Roman" w:cs="Times New Roman"/>
          <w:sz w:val="24"/>
          <w:szCs w:val="24"/>
        </w:rPr>
      </w:pPr>
      <w:r w:rsidRPr="002002E8">
        <w:rPr>
          <w:rFonts w:ascii="Times New Roman" w:eastAsia="Times New Roman" w:hAnsi="Times New Roman" w:cs="Times New Roman"/>
          <w:i/>
          <w:iCs/>
          <w:sz w:val="24"/>
          <w:szCs w:val="24"/>
        </w:rPr>
        <w:t>*Pertains to substances in water at room temperature and standard pressure.</w:t>
      </w:r>
    </w:p>
    <w:p w14:paraId="762F0462" w14:textId="77777777" w:rsidR="002002E8" w:rsidRPr="002002E8" w:rsidRDefault="002002E8" w:rsidP="002002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02E8">
        <w:rPr>
          <w:rFonts w:ascii="Times New Roman" w:eastAsia="Times New Roman" w:hAnsi="Times New Roman" w:cs="Times New Roman"/>
          <w:sz w:val="24"/>
          <w:szCs w:val="24"/>
        </w:rPr>
        <w:t>Salts containing Group I elements (Li</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Na</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K</w:t>
      </w:r>
      <w:r w:rsidRPr="002002E8">
        <w:rPr>
          <w:rFonts w:ascii="Lato" w:eastAsia="Times New Roman" w:hAnsi="Lato" w:cs="Times New Roman"/>
          <w:sz w:val="16"/>
          <w:szCs w:val="16"/>
          <w:vertAlign w:val="superscript"/>
        </w:rPr>
        <w:t>+</w:t>
      </w:r>
      <w:r w:rsidRPr="002002E8">
        <w:rPr>
          <w:rFonts w:ascii="Times New Roman" w:eastAsia="Times New Roman" w:hAnsi="Times New Roman" w:cs="Times New Roman"/>
          <w:sz w:val="24"/>
          <w:szCs w:val="24"/>
        </w:rPr>
        <w:t>, Cs</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Rb</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or ammonium ions (NH</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xml:space="preserve">) are soluble. </w:t>
      </w:r>
    </w:p>
    <w:p w14:paraId="04C81978" w14:textId="77777777" w:rsidR="002002E8" w:rsidRPr="002002E8" w:rsidRDefault="002002E8" w:rsidP="002002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02E8">
        <w:rPr>
          <w:rFonts w:ascii="Times New Roman" w:eastAsia="Times New Roman" w:hAnsi="Times New Roman" w:cs="Times New Roman"/>
          <w:sz w:val="24"/>
          <w:szCs w:val="24"/>
        </w:rPr>
        <w:t>Salts containing nitrates (NO</w:t>
      </w:r>
      <w:r w:rsidRPr="002002E8">
        <w:rPr>
          <w:rFonts w:ascii="Times New Roman" w:eastAsia="Times New Roman" w:hAnsi="Times New Roman" w:cs="Times New Roman"/>
          <w:sz w:val="24"/>
          <w:szCs w:val="24"/>
          <w:vertAlign w:val="subscript"/>
        </w:rPr>
        <w:t>3</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acetates (C</w:t>
      </w:r>
      <w:r w:rsidRPr="002002E8">
        <w:rPr>
          <w:rFonts w:ascii="Times New Roman" w:eastAsia="Times New Roman" w:hAnsi="Times New Roman" w:cs="Times New Roman"/>
          <w:sz w:val="24"/>
          <w:szCs w:val="24"/>
          <w:vertAlign w:val="subscript"/>
        </w:rPr>
        <w:t>2</w:t>
      </w:r>
      <w:r w:rsidRPr="002002E8">
        <w:rPr>
          <w:rFonts w:ascii="Times New Roman" w:eastAsia="Times New Roman" w:hAnsi="Times New Roman" w:cs="Times New Roman"/>
          <w:sz w:val="24"/>
          <w:szCs w:val="24"/>
        </w:rPr>
        <w:t>H</w:t>
      </w:r>
      <w:r w:rsidRPr="002002E8">
        <w:rPr>
          <w:rFonts w:ascii="Times New Roman" w:eastAsia="Times New Roman" w:hAnsi="Times New Roman" w:cs="Times New Roman"/>
          <w:sz w:val="24"/>
          <w:szCs w:val="24"/>
          <w:vertAlign w:val="subscript"/>
        </w:rPr>
        <w:t>3</w:t>
      </w:r>
      <w:r w:rsidRPr="002002E8">
        <w:rPr>
          <w:rFonts w:ascii="Times New Roman" w:eastAsia="Times New Roman" w:hAnsi="Times New Roman" w:cs="Times New Roman"/>
          <w:sz w:val="24"/>
          <w:szCs w:val="24"/>
        </w:rPr>
        <w:t>O</w:t>
      </w:r>
      <w:r w:rsidRPr="002002E8">
        <w:rPr>
          <w:rFonts w:ascii="Times New Roman" w:eastAsia="Times New Roman" w:hAnsi="Times New Roman" w:cs="Times New Roman"/>
          <w:sz w:val="24"/>
          <w:szCs w:val="24"/>
          <w:vertAlign w:val="subscript"/>
        </w:rPr>
        <w:t>2</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chlorates (ClO</w:t>
      </w:r>
      <w:r w:rsidRPr="002002E8">
        <w:rPr>
          <w:rFonts w:ascii="Times New Roman" w:eastAsia="Times New Roman" w:hAnsi="Times New Roman" w:cs="Times New Roman"/>
          <w:sz w:val="24"/>
          <w:szCs w:val="24"/>
          <w:vertAlign w:val="subscript"/>
        </w:rPr>
        <w:t>3</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and perchlorates (ClO</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are generally soluble.</w:t>
      </w:r>
    </w:p>
    <w:p w14:paraId="0B85B96F" w14:textId="77777777" w:rsidR="002002E8" w:rsidRPr="002002E8" w:rsidRDefault="002002E8" w:rsidP="002002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02E8">
        <w:rPr>
          <w:rFonts w:ascii="Times New Roman" w:eastAsia="Times New Roman" w:hAnsi="Times New Roman" w:cs="Times New Roman"/>
          <w:sz w:val="24"/>
          <w:szCs w:val="24"/>
        </w:rPr>
        <w:t>Binary compounds of halogens (Cl</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Br</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or I</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with metals are generally soluble. Exceptions to this include halide salts of fluoride (F</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silver (Ag</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lead (Pb</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and mercury (Hg2+). Lead halides are, however, soluble in hot water. Most silver salts are insoluble except for AgNO</w:t>
      </w:r>
      <w:r w:rsidRPr="002002E8">
        <w:rPr>
          <w:rFonts w:ascii="Times New Roman" w:eastAsia="Times New Roman" w:hAnsi="Times New Roman" w:cs="Times New Roman"/>
          <w:sz w:val="24"/>
          <w:szCs w:val="24"/>
          <w:vertAlign w:val="subscript"/>
        </w:rPr>
        <w:t>3</w:t>
      </w:r>
      <w:r w:rsidRPr="002002E8">
        <w:rPr>
          <w:rFonts w:ascii="Times New Roman" w:eastAsia="Times New Roman" w:hAnsi="Times New Roman" w:cs="Times New Roman"/>
          <w:sz w:val="24"/>
          <w:szCs w:val="24"/>
        </w:rPr>
        <w:t xml:space="preserve"> and Ag(C</w:t>
      </w:r>
      <w:r w:rsidRPr="002002E8">
        <w:rPr>
          <w:rFonts w:ascii="Times New Roman" w:eastAsia="Times New Roman" w:hAnsi="Times New Roman" w:cs="Times New Roman"/>
          <w:sz w:val="24"/>
          <w:szCs w:val="24"/>
          <w:vertAlign w:val="subscript"/>
        </w:rPr>
        <w:t>2</w:t>
      </w:r>
      <w:r w:rsidRPr="002002E8">
        <w:rPr>
          <w:rFonts w:ascii="Times New Roman" w:eastAsia="Times New Roman" w:hAnsi="Times New Roman" w:cs="Times New Roman"/>
          <w:sz w:val="24"/>
          <w:szCs w:val="24"/>
        </w:rPr>
        <w:t>H</w:t>
      </w:r>
      <w:r w:rsidRPr="002002E8">
        <w:rPr>
          <w:rFonts w:ascii="Times New Roman" w:eastAsia="Times New Roman" w:hAnsi="Times New Roman" w:cs="Times New Roman"/>
          <w:sz w:val="24"/>
          <w:szCs w:val="24"/>
          <w:vertAlign w:val="subscript"/>
        </w:rPr>
        <w:t>3</w:t>
      </w:r>
      <w:r w:rsidRPr="002002E8">
        <w:rPr>
          <w:rFonts w:ascii="Times New Roman" w:eastAsia="Times New Roman" w:hAnsi="Times New Roman" w:cs="Times New Roman"/>
          <w:sz w:val="24"/>
          <w:szCs w:val="24"/>
        </w:rPr>
        <w:t>O</w:t>
      </w:r>
      <w:r w:rsidRPr="002002E8">
        <w:rPr>
          <w:rFonts w:ascii="Times New Roman" w:eastAsia="Times New Roman" w:hAnsi="Times New Roman" w:cs="Times New Roman"/>
          <w:sz w:val="24"/>
          <w:szCs w:val="24"/>
          <w:vertAlign w:val="subscript"/>
        </w:rPr>
        <w:t>2</w:t>
      </w:r>
      <w:r w:rsidRPr="002002E8">
        <w:rPr>
          <w:rFonts w:ascii="Times New Roman" w:eastAsia="Times New Roman" w:hAnsi="Times New Roman" w:cs="Times New Roman"/>
          <w:sz w:val="24"/>
          <w:szCs w:val="24"/>
        </w:rPr>
        <w:t>).</w:t>
      </w:r>
    </w:p>
    <w:p w14:paraId="24278A94" w14:textId="77777777" w:rsidR="002002E8" w:rsidRPr="002002E8" w:rsidRDefault="002002E8" w:rsidP="002002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02E8">
        <w:rPr>
          <w:rFonts w:ascii="Times New Roman" w:eastAsia="Times New Roman" w:hAnsi="Times New Roman" w:cs="Times New Roman"/>
          <w:sz w:val="24"/>
          <w:szCs w:val="24"/>
        </w:rPr>
        <w:t>Most sulfate salts (SO</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are soluble. Exceptions to this include CaSO</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rPr>
        <w:t>, BaSO</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rPr>
        <w:t>, Ag</w:t>
      </w:r>
      <w:r w:rsidRPr="002002E8">
        <w:rPr>
          <w:rFonts w:ascii="Times New Roman" w:eastAsia="Times New Roman" w:hAnsi="Times New Roman" w:cs="Times New Roman"/>
          <w:sz w:val="24"/>
          <w:szCs w:val="24"/>
          <w:vertAlign w:val="subscript"/>
        </w:rPr>
        <w:t>2</w:t>
      </w:r>
      <w:r w:rsidRPr="002002E8">
        <w:rPr>
          <w:rFonts w:ascii="Times New Roman" w:eastAsia="Times New Roman" w:hAnsi="Times New Roman" w:cs="Times New Roman"/>
          <w:sz w:val="24"/>
          <w:szCs w:val="24"/>
        </w:rPr>
        <w:t>SO</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rPr>
        <w:t>, HgSO</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rPr>
        <w:t>, and SrSO</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rPr>
        <w:t>, which are slightly soluble. PbSO</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rPr>
        <w:t xml:space="preserve"> is poorly soluble.</w:t>
      </w:r>
    </w:p>
    <w:p w14:paraId="1BFC0C89" w14:textId="77777777" w:rsidR="002002E8" w:rsidRPr="002002E8" w:rsidRDefault="002002E8" w:rsidP="002002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02E8">
        <w:rPr>
          <w:rFonts w:ascii="Times New Roman" w:eastAsia="Times New Roman" w:hAnsi="Times New Roman" w:cs="Times New Roman"/>
          <w:sz w:val="24"/>
          <w:szCs w:val="24"/>
        </w:rPr>
        <w:t>Most hydroxide salts (OH</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are insoluble. Exceptions include hydroxide salts of Group I elements, transition metals, aluminum, and ammonium. Hydroxide salts of Group II elements (Ca</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Sr</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and Ba</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xml:space="preserve">) are only slightly soluble. </w:t>
      </w:r>
    </w:p>
    <w:p w14:paraId="2F79A329" w14:textId="77777777" w:rsidR="002002E8" w:rsidRPr="002002E8" w:rsidRDefault="002002E8" w:rsidP="002002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02E8">
        <w:rPr>
          <w:rFonts w:ascii="Times New Roman" w:eastAsia="Times New Roman" w:hAnsi="Times New Roman" w:cs="Times New Roman"/>
          <w:sz w:val="24"/>
          <w:szCs w:val="24"/>
        </w:rPr>
        <w:t>Most sulfides (S</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of transition metals are highly insoluble, including CdS, FeS, ZnS, and Ag</w:t>
      </w:r>
      <w:r w:rsidRPr="002002E8">
        <w:rPr>
          <w:rFonts w:ascii="Times New Roman" w:eastAsia="Times New Roman" w:hAnsi="Times New Roman" w:cs="Times New Roman"/>
          <w:sz w:val="24"/>
          <w:szCs w:val="24"/>
          <w:vertAlign w:val="subscript"/>
        </w:rPr>
        <w:t>2</w:t>
      </w:r>
      <w:r w:rsidRPr="002002E8">
        <w:rPr>
          <w:rFonts w:ascii="Times New Roman" w:eastAsia="Times New Roman" w:hAnsi="Times New Roman" w:cs="Times New Roman"/>
          <w:sz w:val="24"/>
          <w:szCs w:val="24"/>
        </w:rPr>
        <w:t>S. Arsenic, antimony, bismuth, and lead sulfides are also insoluble. However, calcium (Ca</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barium (Ba</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strontium (Sr</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magnesium (Mg</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sodium (Na</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potassium (K</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and ammonium (NH</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sulfides are soluble.</w:t>
      </w:r>
    </w:p>
    <w:p w14:paraId="687528FE" w14:textId="77777777" w:rsidR="002002E8" w:rsidRPr="002002E8" w:rsidRDefault="002002E8" w:rsidP="002002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02E8">
        <w:rPr>
          <w:rFonts w:ascii="Times New Roman" w:eastAsia="Times New Roman" w:hAnsi="Times New Roman" w:cs="Times New Roman"/>
          <w:sz w:val="24"/>
          <w:szCs w:val="24"/>
        </w:rPr>
        <w:t>Carbonates (CO</w:t>
      </w:r>
      <w:r w:rsidRPr="002002E8">
        <w:rPr>
          <w:rFonts w:ascii="Times New Roman" w:eastAsia="Times New Roman" w:hAnsi="Times New Roman" w:cs="Times New Roman"/>
          <w:sz w:val="24"/>
          <w:szCs w:val="24"/>
          <w:vertAlign w:val="subscript"/>
        </w:rPr>
        <w:t>3</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oxalates (C</w:t>
      </w:r>
      <w:r w:rsidRPr="002002E8">
        <w:rPr>
          <w:rFonts w:ascii="Times New Roman" w:eastAsia="Times New Roman" w:hAnsi="Times New Roman" w:cs="Times New Roman"/>
          <w:sz w:val="24"/>
          <w:szCs w:val="24"/>
          <w:vertAlign w:val="subscript"/>
        </w:rPr>
        <w:t>2</w:t>
      </w:r>
      <w:r w:rsidRPr="002002E8">
        <w:rPr>
          <w:rFonts w:ascii="Times New Roman" w:eastAsia="Times New Roman" w:hAnsi="Times New Roman" w:cs="Times New Roman"/>
          <w:sz w:val="24"/>
          <w:szCs w:val="24"/>
        </w:rPr>
        <w:t>O</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chromates (CrO</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phosphates (PO</w:t>
      </w:r>
      <w:r w:rsidRPr="002002E8">
        <w:rPr>
          <w:rFonts w:ascii="Times New Roman" w:eastAsia="Times New Roman" w:hAnsi="Times New Roman" w:cs="Times New Roman"/>
          <w:sz w:val="24"/>
          <w:szCs w:val="24"/>
          <w:vertAlign w:val="subscript"/>
        </w:rPr>
        <w:t>4</w:t>
      </w:r>
      <w:r w:rsidRPr="002002E8">
        <w:rPr>
          <w:rFonts w:ascii="Times New Roman" w:eastAsia="Times New Roman" w:hAnsi="Times New Roman" w:cs="Times New Roman"/>
          <w:sz w:val="24"/>
          <w:szCs w:val="24"/>
          <w:vertAlign w:val="superscript"/>
        </w:rPr>
        <w:t>2-</w:t>
      </w:r>
      <w:r w:rsidRPr="002002E8">
        <w:rPr>
          <w:rFonts w:ascii="Times New Roman" w:eastAsia="Times New Roman" w:hAnsi="Times New Roman" w:cs="Times New Roman"/>
          <w:sz w:val="24"/>
          <w:szCs w:val="24"/>
        </w:rPr>
        <w:t>), and fluorides (F</w:t>
      </w:r>
      <w:r w:rsidRPr="002002E8">
        <w:rPr>
          <w:rFonts w:ascii="Times New Roman" w:eastAsia="Times New Roman" w:hAnsi="Times New Roman" w:cs="Times New Roman"/>
          <w:sz w:val="24"/>
          <w:szCs w:val="24"/>
          <w:vertAlign w:val="superscript"/>
        </w:rPr>
        <w:t>-</w:t>
      </w:r>
      <w:r w:rsidRPr="002002E8">
        <w:rPr>
          <w:rFonts w:ascii="Times New Roman" w:eastAsia="Times New Roman" w:hAnsi="Times New Roman" w:cs="Times New Roman"/>
          <w:sz w:val="24"/>
          <w:szCs w:val="24"/>
        </w:rPr>
        <w:t>) are frequently insoluble. Although, compounds containing Group I elements or ammonium are soluble, except for lithium phosphate, which is poorly soluble.</w:t>
      </w:r>
    </w:p>
    <w:p w14:paraId="71B294F4" w14:textId="77777777" w:rsidR="002002E8" w:rsidRPr="002002E8" w:rsidRDefault="002002E8" w:rsidP="002002E8">
      <w:pPr>
        <w:spacing w:after="0" w:line="240" w:lineRule="auto"/>
        <w:rPr>
          <w:rFonts w:ascii="Times New Roman" w:eastAsia="Times New Roman" w:hAnsi="Times New Roman" w:cs="Times New Roman"/>
          <w:sz w:val="24"/>
          <w:szCs w:val="24"/>
        </w:rPr>
      </w:pPr>
    </w:p>
    <w:p w14:paraId="6B093811" w14:textId="77777777" w:rsidR="002002E8" w:rsidRPr="002002E8" w:rsidRDefault="002002E8" w:rsidP="002002E8">
      <w:pPr>
        <w:spacing w:before="100" w:beforeAutospacing="1" w:after="100" w:afterAutospacing="1" w:line="240" w:lineRule="auto"/>
        <w:jc w:val="both"/>
        <w:rPr>
          <w:rFonts w:ascii="Times New Roman" w:eastAsia="Times New Roman" w:hAnsi="Times New Roman" w:cs="Times New Roman"/>
          <w:sz w:val="24"/>
          <w:szCs w:val="24"/>
        </w:rPr>
      </w:pPr>
      <w:r w:rsidRPr="002002E8">
        <w:rPr>
          <w:rFonts w:ascii="Times New Roman" w:eastAsia="Times New Roman" w:hAnsi="Times New Roman" w:cs="Times New Roman"/>
          <w:sz w:val="24"/>
          <w:szCs w:val="24"/>
        </w:rPr>
        <w:t>With the chart below, the empirical formula of the compound can be used to determine solubility by cross referencing the cations (top row) with anions (first column). For less common compounds, you can consult a periodic table  while using the solubility guidelines listed above.</w:t>
      </w:r>
    </w:p>
    <w:p w14:paraId="6854E85C" w14:textId="6CF0F624" w:rsidR="002002E8" w:rsidRDefault="002002E8"/>
    <w:p w14:paraId="731FC60D" w14:textId="24FDCE0C" w:rsidR="002002E8" w:rsidRDefault="002002E8"/>
    <w:p w14:paraId="37D6566F" w14:textId="34BEC361" w:rsidR="002002E8" w:rsidRDefault="002002E8"/>
    <w:p w14:paraId="155A3F07" w14:textId="42309A67" w:rsidR="002002E8" w:rsidRDefault="002002E8"/>
    <w:p w14:paraId="5DA0375C" w14:textId="6678AB5F" w:rsidR="002002E8" w:rsidRDefault="002002E8"/>
    <w:p w14:paraId="3E534B61" w14:textId="1C7FA959" w:rsidR="002002E8" w:rsidRDefault="002002E8"/>
    <w:p w14:paraId="68907E64" w14:textId="0A4DB1FA" w:rsidR="002002E8" w:rsidRDefault="002002E8"/>
    <w:p w14:paraId="61B169A8" w14:textId="6E2F47D1" w:rsidR="002002E8" w:rsidRDefault="002002E8"/>
    <w:p w14:paraId="1AD30E38" w14:textId="77777777" w:rsidR="005745B3" w:rsidRDefault="005745B3">
      <w:pPr>
        <w:sectPr w:rsidR="005745B3">
          <w:pgSz w:w="12240" w:h="15840"/>
          <w:pgMar w:top="1440" w:right="1440" w:bottom="1440" w:left="1440" w:header="720" w:footer="720" w:gutter="0"/>
          <w:cols w:space="720"/>
          <w:docGrid w:linePitch="360"/>
        </w:sectPr>
      </w:pPr>
    </w:p>
    <w:p w14:paraId="7E0732CA" w14:textId="22E68A4D" w:rsidR="002002E8" w:rsidRDefault="005745B3">
      <w:r>
        <w:rPr>
          <w:noProof/>
        </w:rPr>
        <w:lastRenderedPageBreak/>
        <w:drawing>
          <wp:inline distT="0" distB="0" distL="0" distR="0" wp14:anchorId="07798E20" wp14:editId="2E12C472">
            <wp:extent cx="8229600" cy="524700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8229600" cy="5247005"/>
                    </a:xfrm>
                    <a:prstGeom prst="rect">
                      <a:avLst/>
                    </a:prstGeom>
                  </pic:spPr>
                </pic:pic>
              </a:graphicData>
            </a:graphic>
          </wp:inline>
        </w:drawing>
      </w:r>
    </w:p>
    <w:p w14:paraId="0154605A" w14:textId="1D010EE6" w:rsidR="00A67227" w:rsidRDefault="00A67227"/>
    <w:p w14:paraId="4CA55BDB" w14:textId="7EC1BEC7" w:rsidR="00A67227" w:rsidRDefault="00A67227"/>
    <w:p w14:paraId="69C0D51F" w14:textId="502DF41A" w:rsidR="00A67227" w:rsidRDefault="00A67227">
      <w:r>
        <w:rPr>
          <w:noProof/>
        </w:rPr>
        <w:lastRenderedPageBreak/>
        <w:drawing>
          <wp:inline distT="0" distB="0" distL="0" distR="0" wp14:anchorId="19F0093E" wp14:editId="293E2569">
            <wp:extent cx="7391400" cy="5715000"/>
            <wp:effectExtent l="0" t="0" r="0" b="0"/>
            <wp:docPr id="3" name="Picture 3" descr="File:Periodic tab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Periodic table.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91400" cy="5715000"/>
                    </a:xfrm>
                    <a:prstGeom prst="rect">
                      <a:avLst/>
                    </a:prstGeom>
                    <a:noFill/>
                    <a:ln>
                      <a:noFill/>
                    </a:ln>
                  </pic:spPr>
                </pic:pic>
              </a:graphicData>
            </a:graphic>
          </wp:inline>
        </w:drawing>
      </w:r>
    </w:p>
    <w:sectPr w:rsidR="00A67227" w:rsidSect="005745B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110D7"/>
    <w:multiLevelType w:val="multilevel"/>
    <w:tmpl w:val="54B6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E8"/>
    <w:rsid w:val="002002E8"/>
    <w:rsid w:val="005745B3"/>
    <w:rsid w:val="0091362C"/>
    <w:rsid w:val="00A67227"/>
    <w:rsid w:val="00C4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ABB3"/>
  <w15:chartTrackingRefBased/>
  <w15:docId w15:val="{A53494E9-C4F8-44F8-B28D-DE00861C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02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02E8"/>
    <w:rPr>
      <w:rFonts w:ascii="Times New Roman" w:eastAsia="Times New Roman" w:hAnsi="Times New Roman" w:cs="Times New Roman"/>
      <w:b/>
      <w:bCs/>
      <w:sz w:val="36"/>
      <w:szCs w:val="36"/>
    </w:rPr>
  </w:style>
  <w:style w:type="paragraph" w:customStyle="1" w:styleId="pclass">
    <w:name w:val="pclass"/>
    <w:basedOn w:val="Normal"/>
    <w:rsid w:val="002002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02E8"/>
    <w:rPr>
      <w:i/>
      <w:iCs/>
    </w:rPr>
  </w:style>
  <w:style w:type="character" w:customStyle="1" w:styleId="spanclass">
    <w:name w:val="spanclass"/>
    <w:basedOn w:val="DefaultParagraphFont"/>
    <w:rsid w:val="00200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52399">
      <w:bodyDiv w:val="1"/>
      <w:marLeft w:val="0"/>
      <w:marRight w:val="0"/>
      <w:marTop w:val="0"/>
      <w:marBottom w:val="0"/>
      <w:divBdr>
        <w:top w:val="none" w:sz="0" w:space="0" w:color="auto"/>
        <w:left w:val="none" w:sz="0" w:space="0" w:color="auto"/>
        <w:bottom w:val="none" w:sz="0" w:space="0" w:color="auto"/>
        <w:right w:val="none" w:sz="0" w:space="0" w:color="auto"/>
      </w:divBdr>
      <w:divsChild>
        <w:div w:id="1964261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Lever</dc:creator>
  <cp:keywords/>
  <dc:description/>
  <cp:lastModifiedBy>John Lever</cp:lastModifiedBy>
  <cp:revision>2</cp:revision>
  <dcterms:created xsi:type="dcterms:W3CDTF">2021-11-04T23:52:00Z</dcterms:created>
  <dcterms:modified xsi:type="dcterms:W3CDTF">2021-11-05T00:03:00Z</dcterms:modified>
</cp:coreProperties>
</file>