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Cell compartments</w:t>
      </w:r>
    </w:p>
    <w:tbl>
      <w:tblPr>
        <w:tblW w:w="2000" w:type="pct"/>
        <w:tblBorders>
          <w:top w:val="single" w:sz="4" w:color="198200"/>
          <w:start w:val="single" w:sz="4" w:color="198200"/>
          <w:bottom w:val="single" w:sz="4" w:color="198200"/>
          <w:end w:val="single" w:sz="4" w:color="198200"/>
        </w:tblBorders>
      </w:tblPr>
      <w:tblGrid>
        <w:gridCol w:w="1871"/>
        <w:gridCol w:w="1872"/>
      </w:tblGrid>
      <w:tr>
        <w:tc>
          <w:p>
            <w:pPr>
              <w:pStyle w:val="BodyText"/>
            </w:pPr>
            <w:r>
              <w:t xml:space="preserve">Ribosome</w:t>
            </w:r>
          </w:p>
        </w:tc>
        <w:tc>
          <w:p>
            <w:pPr>
              <w:pStyle w:val="BodyText"/>
            </w:pPr>
            <w:r>
              <w:t xml:space="preserve">Lysosome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qFormat/>
    <w:pPr>
      <w:spacing w:before="180"/>
    </w:p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