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Cell compartments</w:t>
      </w:r>
    </w:p>
    <w:tbl>
      <w:tblPr>
        <w:tblW w:w="2000" w:type="pct"/>
        <w:tblBorders>
          <w:top w:val="single" w:sz="4" w:color="198200"/>
          <w:start w:val="single" w:sz="4" w:color="198200"/>
          <w:bottom w:val="single" w:sz="4" w:color="198200"/>
          <w:end w:val="single" w:sz="4" w:color="198200"/>
        </w:tblBorders>
      </w:tblPr>
      <w:tblGrid>
        <w:gridCol w:w="1871"/>
        <w:gridCol w:w="1872"/>
      </w:tblGrid>
      <w:tr>
        <w:tc>
          <w:p>
            <w:pPr>
              <w:pStyle w:val="BodyText"/>
            </w:pPr>
            <w:r>
              <w:t xml:space="preserve">Ribosome</w:t>
            </w:r>
          </w:p>
        </w:tc>
        <w:tc>
          <w:p>
            <w:pPr>
              <w:pStyle w:val="BodyText"/>
            </w:pPr>
            <w:r>
              <w:t xml:space="preserve">Lysosome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