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numPr>
          <w:ilvl w:val="0"/>
          <w:numId w:val="1001"/>
        </w:numPr>
      </w:pPr>
      <w:r>
        <w:t xml:space="preserve">one</w:t>
      </w:r>
    </w:p>
    <w:p>
      <w:pPr>
        <w:pStyle w:val="Compact"/>
        <w:numPr>
          <w:ilvl w:val="1"/>
          <w:numId w:val="1002"/>
        </w:numPr>
      </w:pPr>
      <w:r>
        <w:t xml:space="preserve">bul</w:t>
      </w:r>
    </w:p>
    <w:p>
      <w:pPr>
        <w:pStyle w:val="Compact"/>
        <w:numPr>
          <w:ilvl w:val="0"/>
          <w:numId w:val="1001"/>
        </w:numPr>
      </w:pPr>
      <w:r>
        <w:t xml:space="preserve">two</w:t>
      </w:r>
    </w:p>
    <w:sectPr>
      <w:footnotePr>
        <w:numRestart w:val="eachSect"/>
      </w:footnotePr>
      <w:pgSz w:h="16838" w:w="1190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2025-08-09T21:19:05Z</dcterms:created>
  <dcterms:modified xsi:type="dcterms:W3CDTF">2025-08-09T21:19:05Z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