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yr2qnspmecp" w:id="0"/>
      <w:bookmarkEnd w:id="0"/>
      <w:r w:rsidDel="00000000" w:rsidR="00000000" w:rsidRPr="00000000">
        <w:rPr>
          <w:rtl w:val="0"/>
        </w:rPr>
        <w:t xml:space="preserve">Title: Are Complications Following Cranioplasty Related To Its Timing After The Decompressive Surgery? A Systematic Review and Meta-Analysis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Authors: James Malcolm, Ph.D.; Rima Sestokas Rindler, M.D.; Jason Chu, M.D.; Jonathan Grossberg, M.D.; Gustavo Pradilla M.D.; Faiz Ahmad, M.D., M.Ch.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a8nlr5zxsgv" w:id="1"/>
      <w:bookmarkEnd w:id="1"/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Cranioplasty following decompressive craniectomy carries </w:t>
      </w:r>
      <w:r w:rsidDel="00000000" w:rsidR="00000000" w:rsidRPr="00000000">
        <w:rPr>
          <w:rtl w:val="0"/>
        </w:rPr>
        <w:t xml:space="preserve">known complication risks; however, it is unknown whether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timing of cranioplasty affects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tl w:val="0"/>
        </w:rPr>
        <w:t xml:space="preserve"> incidence of specific complications. This study reports a meta-analysis of complication </w:t>
      </w:r>
      <w:r w:rsidDel="00000000" w:rsidR="00000000" w:rsidRPr="00000000">
        <w:rPr>
          <w:rtl w:val="0"/>
        </w:rPr>
        <w:t xml:space="preserve">rates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rtl w:val="0"/>
        </w:rPr>
        <w:t xml:space="preserve"> patients undergoing early versus late cranioplasty</w:t>
      </w:r>
      <w:r w:rsidDel="00000000" w:rsidR="00000000" w:rsidRPr="00000000">
        <w:rPr>
          <w:rtl w:val="0"/>
        </w:rPr>
        <w:t xml:space="preserve"> after decompressive craniectomy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0t6xdlaf3as" w:id="2"/>
      <w:bookmarkEnd w:id="2"/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systematic literature search </w:t>
      </w:r>
      <w:r w:rsidDel="00000000" w:rsidR="00000000" w:rsidRPr="00000000">
        <w:rPr>
          <w:rtl w:val="0"/>
        </w:rPr>
        <w:t xml:space="preserve">adherent to PRISMA guidelines was performed using </w:t>
      </w:r>
      <w:r w:rsidDel="00000000" w:rsidR="00000000" w:rsidRPr="00000000">
        <w:rPr>
          <w:rtl w:val="0"/>
        </w:rPr>
        <w:t xml:space="preserve">PubMed and Scopus. Articles reporting complications related to timing of cranioplasty following decompressive craniectomy were included. </w:t>
      </w:r>
      <w:r w:rsidDel="00000000" w:rsidR="00000000" w:rsidRPr="00000000">
        <w:rPr>
          <w:rtl w:val="0"/>
        </w:rPr>
        <w:t xml:space="preserve">Odds ratios [OR, 95% Confidence Interval (CI)] of o</w:t>
      </w:r>
      <w:r w:rsidDel="00000000" w:rsidR="00000000" w:rsidRPr="00000000">
        <w:rPr>
          <w:rtl w:val="0"/>
        </w:rPr>
        <w:t xml:space="preserve">verall complications, infection, resorption, reoperation, extra-axial fluid collection, seizure, and hydrocephalus </w:t>
      </w:r>
      <w:r w:rsidDel="00000000" w:rsidR="00000000" w:rsidRPr="00000000">
        <w:rPr>
          <w:rtl w:val="0"/>
        </w:rPr>
        <w:t xml:space="preserve">were pooled and compared for cranioplasty </w:t>
      </w:r>
      <w:r w:rsidDel="00000000" w:rsidR="00000000" w:rsidRPr="00000000">
        <w:rPr>
          <w:rtl w:val="0"/>
        </w:rPr>
        <w:t xml:space="preserve">performed within (early) and beyond</w:t>
      </w:r>
      <w:r w:rsidDel="00000000" w:rsidR="00000000" w:rsidRPr="00000000">
        <w:rPr>
          <w:rtl w:val="0"/>
        </w:rPr>
        <w:t xml:space="preserve"> (late)</w:t>
      </w:r>
      <w:r w:rsidDel="00000000" w:rsidR="00000000" w:rsidRPr="00000000">
        <w:rPr>
          <w:rtl w:val="0"/>
        </w:rPr>
        <w:t xml:space="preserve"> 3 months.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t3ddakjtb08" w:id="3"/>
      <w:bookmarkEnd w:id="3"/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Twenty-</w:t>
      </w:r>
      <w:r w:rsidDel="00000000" w:rsidR="00000000" w:rsidRPr="00000000">
        <w:rPr>
          <w:rtl w:val="0"/>
        </w:rPr>
        <w:t xml:space="preserve">three </w:t>
      </w:r>
      <w:r w:rsidDel="00000000" w:rsidR="00000000" w:rsidRPr="00000000">
        <w:rPr>
          <w:rtl w:val="0"/>
        </w:rPr>
        <w:t xml:space="preserve">of 319 </w:t>
      </w:r>
      <w:r w:rsidDel="00000000" w:rsidR="00000000" w:rsidRPr="00000000">
        <w:rPr>
          <w:rtl w:val="0"/>
        </w:rPr>
        <w:t xml:space="preserve">articles </w:t>
      </w:r>
      <w:r w:rsidDel="00000000" w:rsidR="00000000" w:rsidRPr="00000000">
        <w:rPr>
          <w:rtl w:val="0"/>
        </w:rPr>
        <w:t xml:space="preserve">met inclusion criteria (total </w:t>
      </w:r>
      <w:r w:rsidDel="00000000" w:rsidR="00000000" w:rsidRPr="00000000">
        <w:rPr>
          <w:rtl w:val="0"/>
        </w:rPr>
        <w:t xml:space="preserve">2713 patients; </w:t>
      </w:r>
      <w:r w:rsidDel="00000000" w:rsidR="00000000" w:rsidRPr="00000000">
        <w:rPr>
          <w:rtl w:val="0"/>
        </w:rPr>
        <w:t xml:space="preserve">1292</w:t>
      </w:r>
      <w:r w:rsidDel="00000000" w:rsidR="00000000" w:rsidRPr="00000000">
        <w:rPr>
          <w:rtl w:val="0"/>
        </w:rPr>
        <w:t xml:space="preserve"> early</w:t>
      </w:r>
      <w:r w:rsidDel="00000000" w:rsidR="00000000" w:rsidRPr="00000000">
        <w:rPr>
          <w:rtl w:val="0"/>
        </w:rPr>
        <w:t xml:space="preserve"> vs. </w:t>
      </w:r>
      <w:r w:rsidDel="00000000" w:rsidR="00000000" w:rsidRPr="00000000">
        <w:rPr>
          <w:rtl w:val="0"/>
        </w:rPr>
        <w:t xml:space="preserve">1421 late)</w:t>
      </w:r>
      <w:r w:rsidDel="00000000" w:rsidR="00000000" w:rsidRPr="00000000">
        <w:rPr>
          <w:rtl w:val="0"/>
        </w:rPr>
        <w:t xml:space="preserve">.  Early cranioplasty is associated with an increased rate of hydrocephalus (n=4, OR 2.34, CI 1.09-5.03, p=0.03), often requiring a ventriculoperitoneal </w:t>
      </w:r>
      <w:r w:rsidDel="00000000" w:rsidR="00000000" w:rsidRPr="00000000">
        <w:rPr>
          <w:rtl w:val="0"/>
        </w:rPr>
        <w:t xml:space="preserve">shunt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 There was no significant difference in odds of </w:t>
      </w:r>
      <w:r w:rsidDel="00000000" w:rsidR="00000000" w:rsidRPr="00000000">
        <w:rPr>
          <w:rtl w:val="0"/>
        </w:rPr>
        <w:t xml:space="preserve">overall complications (n=22, OR 1.14, CI 0.81-1.60), infection (n=16, OR 1.19, CI 0.81-1.75), resorption (n=2, OR 0.89, CI 0.44-1.81), reoperation (n=8, OR 0.77, CI 0.50-1.18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extra-axial fluid collections (n=9, OR 0.73, CI 0.45-1.17)</w:t>
      </w:r>
      <w:r w:rsidDel="00000000" w:rsidR="00000000" w:rsidRPr="00000000">
        <w:rPr>
          <w:rtl w:val="0"/>
        </w:rPr>
        <w:t xml:space="preserve">, or seizure (</w:t>
      </w:r>
      <w:r w:rsidDel="00000000" w:rsidR="00000000" w:rsidRPr="00000000">
        <w:rPr>
          <w:rtl w:val="0"/>
        </w:rPr>
        <w:t xml:space="preserve">n=3, </w:t>
      </w:r>
      <w:r w:rsidDel="00000000" w:rsidR="00000000" w:rsidRPr="00000000">
        <w:rPr>
          <w:rtl w:val="0"/>
        </w:rPr>
        <w:t xml:space="preserve">OR 1.03, 0.48-2.22) in early versus late cranioplasty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9ch3edl2lli" w:id="4"/>
      <w:bookmarkEnd w:id="4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Early c</w:t>
      </w:r>
      <w:r w:rsidDel="00000000" w:rsidR="00000000" w:rsidRPr="00000000">
        <w:rPr>
          <w:rtl w:val="0"/>
        </w:rPr>
        <w:t xml:space="preserve">ranioplasty after decompressive craniectomy is associated with an increased rate of hydrocephalus</w:t>
      </w:r>
      <w:r w:rsidDel="00000000" w:rsidR="00000000" w:rsidRPr="00000000">
        <w:rPr>
          <w:rtl w:val="0"/>
        </w:rPr>
        <w:t xml:space="preserve"> compared with late cranioplasty. There was n</w:t>
      </w:r>
      <w:r w:rsidDel="00000000" w:rsidR="00000000" w:rsidRPr="00000000">
        <w:rPr>
          <w:rtl w:val="0"/>
        </w:rPr>
        <w:t xml:space="preserve">o significant difference in overall complications. </w:t>
      </w:r>
      <w:r w:rsidDel="00000000" w:rsidR="00000000" w:rsidRPr="00000000">
        <w:rPr>
          <w:rtl w:val="0"/>
        </w:rPr>
        <w:t xml:space="preserve">Prospective studies should determine optimal cranioplasty timing for specific patient populations.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xtsz22kjsgn" w:id="5"/>
      <w:bookmarkEnd w:id="5"/>
      <w:r w:rsidDel="00000000" w:rsidR="00000000" w:rsidRPr="00000000">
        <w:rPr>
          <w:rtl w:val="0"/>
        </w:rPr>
        <w:t xml:space="preserve">Figure 1: PRISMA Flow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207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t6z9c7r9x3q" w:id="6"/>
      <w:bookmarkEnd w:id="6"/>
      <w:r w:rsidDel="00000000" w:rsidR="00000000" w:rsidRPr="00000000">
        <w:rPr>
          <w:rtl w:val="0"/>
        </w:rPr>
        <w:t xml:space="preserve">Figure: Overall </w:t>
      </w:r>
      <w:r w:rsidDel="00000000" w:rsidR="00000000" w:rsidRPr="00000000">
        <w:rPr>
          <w:rtl w:val="0"/>
        </w:rPr>
        <w:t xml:space="preserve">Complications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052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pei1hd5211h" w:id="7"/>
      <w:bookmarkEnd w:id="7"/>
      <w:r w:rsidDel="00000000" w:rsidR="00000000" w:rsidRPr="00000000">
        <w:rPr>
          <w:rtl w:val="0"/>
        </w:rPr>
        <w:t xml:space="preserve">Figure: Infection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8575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ek2bsaovbg" w:id="8"/>
      <w:bookmarkEnd w:id="8"/>
      <w:r w:rsidDel="00000000" w:rsidR="00000000" w:rsidRPr="00000000">
        <w:rPr>
          <w:rtl w:val="0"/>
        </w:rPr>
        <w:t xml:space="preserve">Figure: Resorption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193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9vp0o9bmu0z" w:id="9"/>
      <w:bookmarkEnd w:id="9"/>
      <w:r w:rsidDel="00000000" w:rsidR="00000000" w:rsidRPr="00000000">
        <w:rPr>
          <w:rtl w:val="0"/>
        </w:rPr>
        <w:t xml:space="preserve">Figure: Reoperation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905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sumnwtsq7az" w:id="10"/>
      <w:bookmarkEnd w:id="10"/>
      <w:r w:rsidDel="00000000" w:rsidR="00000000" w:rsidRPr="00000000">
        <w:rPr>
          <w:rtl w:val="0"/>
        </w:rPr>
        <w:t xml:space="preserve">Figure: Extra-Axial Fluid Collection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032000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ausfobv3fsx" w:id="11"/>
      <w:bookmarkEnd w:id="11"/>
      <w:r w:rsidDel="00000000" w:rsidR="00000000" w:rsidRPr="00000000">
        <w:rPr>
          <w:rtl w:val="0"/>
        </w:rPr>
        <w:t xml:space="preserve">Figure: Seizure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3081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6rp1730km99" w:id="12"/>
      <w:bookmarkEnd w:id="12"/>
      <w:r w:rsidDel="00000000" w:rsidR="00000000" w:rsidRPr="00000000">
        <w:rPr>
          <w:rtl w:val="0"/>
        </w:rPr>
        <w:t xml:space="preserve">Figure: Hydrocephalus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4351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Ubuntu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200" w:lineRule="auto"/>
      <w:contextualSpacing w:val="1"/>
    </w:pPr>
    <w:rPr>
      <w:rFonts w:ascii="Ubuntu" w:cs="Ubuntu" w:eastAsia="Ubuntu" w:hAnsi="Ubuntu"/>
      <w:b w:val="1"/>
      <w:color w:val="cc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b w:val="1"/>
      <w:color w:val="1155cc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png"/><Relationship Id="rId10" Type="http://schemas.openxmlformats.org/officeDocument/2006/relationships/image" Target="media/image09.png"/><Relationship Id="rId12" Type="http://schemas.openxmlformats.org/officeDocument/2006/relationships/image" Target="media/image15.png"/><Relationship Id="rId9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