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EB0E" w14:textId="77777777" w:rsidR="002E35C6" w:rsidRPr="002E35C6" w:rsidRDefault="002E35C6" w:rsidP="002E35C6">
      <w:pPr>
        <w:spacing w:after="240"/>
        <w:jc w:val="center"/>
        <w:rPr>
          <w:rFonts w:ascii="Times New Roman" w:hAnsi="Times New Roman" w:cs="Times New Roman"/>
          <w:b/>
          <w:sz w:val="28"/>
        </w:rPr>
      </w:pPr>
      <w:r w:rsidRPr="002E35C6">
        <w:rPr>
          <w:rFonts w:ascii="Times New Roman" w:hAnsi="Times New Roman" w:cs="Times New Roman"/>
          <w:b/>
          <w:sz w:val="28"/>
        </w:rPr>
        <w:t xml:space="preserve">Análise crítica do artigo "QPSK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Detection</w:t>
      </w:r>
      <w:proofErr w:type="spellEnd"/>
      <w:r w:rsidRPr="002E35C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Schemes</w:t>
      </w:r>
      <w:proofErr w:type="spellEnd"/>
      <w:r w:rsidRPr="002E35C6">
        <w:rPr>
          <w:rFonts w:ascii="Times New Roman" w:hAnsi="Times New Roman" w:cs="Times New Roman"/>
          <w:b/>
          <w:sz w:val="28"/>
        </w:rPr>
        <w:t xml:space="preserve"> for Rayleigh Fading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Channels</w:t>
      </w:r>
      <w:proofErr w:type="spellEnd"/>
      <w:r w:rsidRPr="002E35C6">
        <w:rPr>
          <w:rFonts w:ascii="Times New Roman" w:hAnsi="Times New Roman" w:cs="Times New Roman"/>
          <w:b/>
          <w:sz w:val="28"/>
        </w:rPr>
        <w:t>"</w:t>
      </w:r>
    </w:p>
    <w:p w14:paraId="3C843F51" w14:textId="294CE75A" w:rsidR="002E35C6" w:rsidRPr="002E35C6" w:rsidRDefault="002E35C6" w:rsidP="001A069C">
      <w:pPr>
        <w:spacing w:after="240"/>
        <w:jc w:val="center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  <w:b/>
          <w:sz w:val="28"/>
        </w:rPr>
        <w:t xml:space="preserve">Alfredo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Jesús</w:t>
      </w:r>
      <w:proofErr w:type="spellEnd"/>
      <w:r w:rsidRPr="002E35C6">
        <w:rPr>
          <w:rFonts w:ascii="Times New Roman" w:hAnsi="Times New Roman" w:cs="Times New Roman"/>
          <w:b/>
          <w:sz w:val="28"/>
        </w:rPr>
        <w:t xml:space="preserve"> Arbolaez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Fundora</w:t>
      </w:r>
      <w:proofErr w:type="spellEnd"/>
      <w:r w:rsidRPr="002E35C6">
        <w:rPr>
          <w:rFonts w:ascii="Times New Roman" w:hAnsi="Times New Roman" w:cs="Times New Roman"/>
          <w:b/>
          <w:sz w:val="28"/>
        </w:rPr>
        <w:t xml:space="preserve"> e José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Antonio</w:t>
      </w:r>
      <w:proofErr w:type="spellEnd"/>
      <w:r w:rsidRPr="002E35C6">
        <w:rPr>
          <w:rFonts w:ascii="Times New Roman" w:hAnsi="Times New Roman" w:cs="Times New Roman"/>
          <w:b/>
          <w:sz w:val="28"/>
        </w:rPr>
        <w:t xml:space="preserve"> García </w:t>
      </w:r>
      <w:proofErr w:type="spellStart"/>
      <w:r w:rsidRPr="002E35C6">
        <w:rPr>
          <w:rFonts w:ascii="Times New Roman" w:hAnsi="Times New Roman" w:cs="Times New Roman"/>
          <w:b/>
          <w:sz w:val="28"/>
        </w:rPr>
        <w:t>Ocaña</w:t>
      </w:r>
      <w:proofErr w:type="spellEnd"/>
      <w:r w:rsidRPr="002E35C6">
        <w:rPr>
          <w:rFonts w:ascii="Times New Roman" w:hAnsi="Times New Roman" w:cs="Times New Roman"/>
          <w:b/>
          <w:sz w:val="28"/>
        </w:rPr>
        <w:t>.</w:t>
      </w:r>
    </w:p>
    <w:p w14:paraId="48241F45" w14:textId="75619B00" w:rsidR="00845584" w:rsidRPr="002E35C6" w:rsidRDefault="00845584" w:rsidP="00845584">
      <w:pPr>
        <w:jc w:val="both"/>
        <w:rPr>
          <w:rFonts w:ascii="Times New Roman" w:hAnsi="Times New Roman" w:cs="Times New Roman"/>
          <w:b/>
          <w:bCs/>
        </w:rPr>
      </w:pPr>
      <w:r w:rsidRPr="002E35C6">
        <w:rPr>
          <w:rFonts w:ascii="Times New Roman" w:hAnsi="Times New Roman" w:cs="Times New Roman"/>
          <w:b/>
          <w:bCs/>
        </w:rPr>
        <w:t>RESUMO</w:t>
      </w:r>
    </w:p>
    <w:p w14:paraId="2CD064FF" w14:textId="3E1B7043" w:rsidR="00845584" w:rsidRPr="002E35C6" w:rsidRDefault="00845584" w:rsidP="00845584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 propagação por múltiplos percursos em sistemas de comunicações sem fio impõe variações severas de amplitude e fase ao sinal recebido. Em cenários desprovidos de linha de visada direta, essa degradação é classicamente modelada pela distribuição Rayleigh. Sob tais condições, o desempenho de esquemas de modulação digital, como o QPSK, é substancialmente comprometido, transferindo para a etapa de detecção no receptor a responsabilidade crítica de mitigar a probabilidade de erro de bit (BER).</w:t>
      </w:r>
    </w:p>
    <w:p w14:paraId="51BF56B0" w14:textId="3DAE874B" w:rsidR="00845584" w:rsidRPr="002E35C6" w:rsidRDefault="00845584" w:rsidP="00845584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O artigo em análise investiga o comportamento de dois esquemas de detecção QPSK operando em canais com desvanecimento Rayleigh plano e de variação lenta, sob a presença de ruído aditivo gaussiano branco (AWGN). Em vez de formular novas técnicas de modulação ou alterar a arquitetura do canal, o estudo concentra-se em avaliar duas regras de decisão distintas para determinar o melhor compromisso entre o desempenho de erro e a complexidade computacional.</w:t>
      </w:r>
    </w:p>
    <w:p w14:paraId="346D85CA" w14:textId="6AEEBDAE" w:rsidR="00845584" w:rsidRPr="002E35C6" w:rsidRDefault="00845584" w:rsidP="00845584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O desenvolvimento teórico assume uma compensação ideal de fase no receptor. A partir dessa premissa, a amostra recebida é representada matematicamente pelo produto entre o símbolo transmitido e a amplitude instantânea do canal, acrescido do componente de ruído. Para estimar a informação original, os autores formalizam dois mecanismos: o Detector I contrasta a amostra recebida com os símbolos da constelação de referência previamente escalados pela amplitude do canal; em contrapartida, o Detector II normaliza a amostra recebida</w:t>
      </w:r>
      <w:r w:rsidRPr="002E35C6">
        <w:rPr>
          <w:rFonts w:ascii="Times New Roman" w:hAnsi="Times New Roman" w:cs="Times New Roman"/>
        </w:rPr>
        <w:t>,</w:t>
      </w:r>
      <w:r w:rsidRPr="002E35C6">
        <w:rPr>
          <w:rFonts w:ascii="Times New Roman" w:hAnsi="Times New Roman" w:cs="Times New Roman"/>
        </w:rPr>
        <w:t xml:space="preserve"> dividindo-a por essa mesma amplitude</w:t>
      </w:r>
      <w:r w:rsidRPr="002E35C6">
        <w:rPr>
          <w:rFonts w:ascii="Times New Roman" w:hAnsi="Times New Roman" w:cs="Times New Roman"/>
        </w:rPr>
        <w:t xml:space="preserve">, </w:t>
      </w:r>
      <w:r w:rsidRPr="002E35C6">
        <w:rPr>
          <w:rFonts w:ascii="Times New Roman" w:hAnsi="Times New Roman" w:cs="Times New Roman"/>
        </w:rPr>
        <w:t xml:space="preserve">antes de compará-la aos pontos originais da constelação. O escopo metodológico do trabalho baseia-se na derivação de expressões matemáticas fechadas para a BER de ambos os </w:t>
      </w:r>
      <w:r w:rsidRPr="002E35C6">
        <w:rPr>
          <w:rFonts w:ascii="Times New Roman" w:hAnsi="Times New Roman" w:cs="Times New Roman"/>
        </w:rPr>
        <w:t>detectores,</w:t>
      </w:r>
      <w:r w:rsidRPr="002E35C6">
        <w:rPr>
          <w:rFonts w:ascii="Times New Roman" w:hAnsi="Times New Roman" w:cs="Times New Roman"/>
        </w:rPr>
        <w:t xml:space="preserve"> complementada pela quantificação rigorosa das operações aritméticas elementares necessárias para as suas respectivas implementações.</w:t>
      </w:r>
    </w:p>
    <w:p w14:paraId="23D6B519" w14:textId="77777777" w:rsidR="002E35C6" w:rsidRPr="002E35C6" w:rsidRDefault="002E35C6" w:rsidP="00845584">
      <w:pPr>
        <w:jc w:val="both"/>
        <w:rPr>
          <w:rFonts w:ascii="Times New Roman" w:hAnsi="Times New Roman" w:cs="Times New Roman"/>
        </w:rPr>
      </w:pPr>
    </w:p>
    <w:p w14:paraId="58CFDEAD" w14:textId="77777777" w:rsidR="002E35C6" w:rsidRPr="002E35C6" w:rsidRDefault="002E35C6" w:rsidP="002E35C6">
      <w:pPr>
        <w:jc w:val="both"/>
        <w:rPr>
          <w:rFonts w:ascii="Times New Roman" w:hAnsi="Times New Roman" w:cs="Times New Roman"/>
          <w:b/>
          <w:bCs/>
        </w:rPr>
      </w:pPr>
      <w:r w:rsidRPr="002E35C6">
        <w:rPr>
          <w:rFonts w:ascii="Times New Roman" w:hAnsi="Times New Roman" w:cs="Times New Roman"/>
          <w:b/>
          <w:bCs/>
        </w:rPr>
        <w:t>RESULTADOS</w:t>
      </w:r>
    </w:p>
    <w:p w14:paraId="1085B5BE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 xml:space="preserve">A avaliação de desempenho fundamenta-se na probabilidade de erro de bit em função da relação sinal-ruído por bit, </w:t>
      </w:r>
      <w:proofErr w:type="spellStart"/>
      <w:r w:rsidRPr="002E35C6">
        <w:rPr>
          <w:rFonts w:ascii="Times New Roman" w:hAnsi="Times New Roman" w:cs="Times New Roman"/>
        </w:rPr>
        <w:t>Eb</w:t>
      </w:r>
      <w:proofErr w:type="spellEnd"/>
      <w:r w:rsidRPr="002E35C6">
        <w:rPr>
          <w:rFonts w:ascii="Times New Roman" w:hAnsi="Times New Roman" w:cs="Times New Roman"/>
        </w:rPr>
        <w:t xml:space="preserve">/N0, abrangendo um intervalo de 0 a 30 dB. Conforme ilustrado na Figura 1, extraída do artigo original, há uma sobreposição exata entre os resultados dos dois detectores e a solução analítica do sistema. Essa convergência comprova matematicamente que ambos os esquemas oferecem idêntica robustez contra erros sob a premissa de estimação perfeita do canal. Para corroborar esse achado, o modelo foi replicado de forma independente por meio de um script em Python. </w:t>
      </w:r>
    </w:p>
    <w:p w14:paraId="15E390EF" w14:textId="77777777" w:rsidR="002E35C6" w:rsidRPr="002E35C6" w:rsidRDefault="002E35C6" w:rsidP="001A069C">
      <w:pPr>
        <w:keepNext/>
        <w:jc w:val="center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D52DB9" wp14:editId="12D7FD53">
            <wp:extent cx="4193459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artigo_original_pl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504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3946" w14:textId="149B5EE9" w:rsidR="002E35C6" w:rsidRPr="002E35C6" w:rsidRDefault="002E35C6" w:rsidP="002E35C6">
      <w:pPr>
        <w:pStyle w:val="Legenda"/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 xml:space="preserve">Figura </w:t>
      </w:r>
      <w:r w:rsidRPr="002E35C6">
        <w:rPr>
          <w:rFonts w:ascii="Times New Roman" w:hAnsi="Times New Roman" w:cs="Times New Roman"/>
        </w:rPr>
        <w:fldChar w:fldCharType="begin"/>
      </w:r>
      <w:r w:rsidRPr="002E35C6">
        <w:rPr>
          <w:rFonts w:ascii="Times New Roman" w:hAnsi="Times New Roman" w:cs="Times New Roman"/>
        </w:rPr>
        <w:instrText xml:space="preserve"> SEQ Figura \* ARABIC </w:instrText>
      </w:r>
      <w:r w:rsidRPr="002E35C6">
        <w:rPr>
          <w:rFonts w:ascii="Times New Roman" w:hAnsi="Times New Roman" w:cs="Times New Roman"/>
        </w:rPr>
        <w:fldChar w:fldCharType="separate"/>
      </w:r>
      <w:r w:rsidRPr="002E35C6">
        <w:rPr>
          <w:rFonts w:ascii="Times New Roman" w:hAnsi="Times New Roman" w:cs="Times New Roman"/>
          <w:noProof/>
        </w:rPr>
        <w:t>1</w:t>
      </w:r>
      <w:r w:rsidRPr="002E35C6">
        <w:rPr>
          <w:rFonts w:ascii="Times New Roman" w:hAnsi="Times New Roman" w:cs="Times New Roman"/>
        </w:rPr>
        <w:fldChar w:fldCharType="end"/>
      </w:r>
      <w:r w:rsidRPr="002E35C6">
        <w:rPr>
          <w:rFonts w:ascii="Times New Roman" w:hAnsi="Times New Roman" w:cs="Times New Roman"/>
        </w:rPr>
        <w:t>:</w:t>
      </w:r>
      <w:r w:rsidR="006030B2">
        <w:rPr>
          <w:rFonts w:ascii="Times New Roman" w:hAnsi="Times New Roman" w:cs="Times New Roman"/>
        </w:rPr>
        <w:t xml:space="preserve"> </w:t>
      </w:r>
      <w:r w:rsidRPr="002E35C6">
        <w:rPr>
          <w:rFonts w:ascii="Times New Roman" w:hAnsi="Times New Roman" w:cs="Times New Roman"/>
        </w:rPr>
        <w:t xml:space="preserve">Probabilidade de erro de bit dos dois esquemas de detecção QPSK em função de </w:t>
      </w:r>
      <w:proofErr w:type="spellStart"/>
      <w:r w:rsidRPr="002E35C6">
        <w:rPr>
          <w:rFonts w:ascii="Times New Roman" w:hAnsi="Times New Roman" w:cs="Times New Roman"/>
        </w:rPr>
        <w:t>Eb</w:t>
      </w:r>
      <w:proofErr w:type="spellEnd"/>
      <w:r w:rsidRPr="002E35C6">
        <w:rPr>
          <w:rFonts w:ascii="Times New Roman" w:hAnsi="Times New Roman" w:cs="Times New Roman"/>
        </w:rPr>
        <w:t xml:space="preserve">/N0, conforme apresentada no artigo </w:t>
      </w:r>
      <w:r w:rsidR="006030B2" w:rsidRPr="002E35C6">
        <w:rPr>
          <w:rFonts w:ascii="Times New Roman" w:hAnsi="Times New Roman" w:cs="Times New Roman"/>
        </w:rPr>
        <w:t>original.</w:t>
      </w:r>
    </w:p>
    <w:p w14:paraId="54C6D4F2" w14:textId="09C19B66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 Figura 2 apresenta os resultados dessa simulação de Monte Carlo, que reproduziu a cadeia completa de transmissão, envolvendo a geração estocástica de dados, mapeamento Gray, aplicação do desvanecimento Rayleigh normalizado e adição de ruído AWGN complexo. As curvas simuladas acompanharam a trajetória analítica de forma precisa, exibindo apenas desvios residuais inerentes à amostragem estatística, validando assim de forma computacional o comportamento central do estudo.</w:t>
      </w:r>
    </w:p>
    <w:p w14:paraId="2BF90781" w14:textId="77777777" w:rsidR="002E35C6" w:rsidRPr="002E35C6" w:rsidRDefault="002E35C6" w:rsidP="001A069C">
      <w:pPr>
        <w:keepNext/>
        <w:jc w:val="center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  <w:noProof/>
        </w:rPr>
        <w:drawing>
          <wp:inline distT="0" distB="0" distL="0" distR="0" wp14:anchorId="557BA10D" wp14:editId="69E187A4">
            <wp:extent cx="3962400" cy="275442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simulacao_obti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918" cy="27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ED98" w14:textId="0763CDEE" w:rsidR="002E35C6" w:rsidRPr="002E35C6" w:rsidRDefault="002E35C6" w:rsidP="002E35C6">
      <w:pPr>
        <w:pStyle w:val="Legenda"/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 xml:space="preserve">Figura </w:t>
      </w:r>
      <w:r w:rsidRPr="002E35C6">
        <w:rPr>
          <w:rFonts w:ascii="Times New Roman" w:hAnsi="Times New Roman" w:cs="Times New Roman"/>
        </w:rPr>
        <w:fldChar w:fldCharType="begin"/>
      </w:r>
      <w:r w:rsidRPr="002E35C6">
        <w:rPr>
          <w:rFonts w:ascii="Times New Roman" w:hAnsi="Times New Roman" w:cs="Times New Roman"/>
        </w:rPr>
        <w:instrText xml:space="preserve"> SEQ Figura \* ARABIC </w:instrText>
      </w:r>
      <w:r w:rsidRPr="002E35C6">
        <w:rPr>
          <w:rFonts w:ascii="Times New Roman" w:hAnsi="Times New Roman" w:cs="Times New Roman"/>
        </w:rPr>
        <w:fldChar w:fldCharType="separate"/>
      </w:r>
      <w:r w:rsidRPr="002E35C6">
        <w:rPr>
          <w:rFonts w:ascii="Times New Roman" w:hAnsi="Times New Roman" w:cs="Times New Roman"/>
          <w:noProof/>
        </w:rPr>
        <w:t>2</w:t>
      </w:r>
      <w:r w:rsidRPr="002E35C6">
        <w:rPr>
          <w:rFonts w:ascii="Times New Roman" w:hAnsi="Times New Roman" w:cs="Times New Roman"/>
        </w:rPr>
        <w:fldChar w:fldCharType="end"/>
      </w:r>
      <w:r w:rsidRPr="002E35C6">
        <w:rPr>
          <w:rFonts w:ascii="Times New Roman" w:hAnsi="Times New Roman" w:cs="Times New Roman"/>
        </w:rPr>
        <w:t>:</w:t>
      </w:r>
      <w:r w:rsidR="006030B2">
        <w:rPr>
          <w:rFonts w:ascii="Times New Roman" w:hAnsi="Times New Roman" w:cs="Times New Roman"/>
        </w:rPr>
        <w:t xml:space="preserve"> </w:t>
      </w:r>
      <w:r w:rsidRPr="002E35C6">
        <w:rPr>
          <w:rFonts w:ascii="Times New Roman" w:hAnsi="Times New Roman" w:cs="Times New Roman"/>
        </w:rPr>
        <w:t>Resultado obtido por simulação em Python para a BER dos detectores DI e DII em canal Rayleigh plano, comparado com a expressão analítica.</w:t>
      </w:r>
    </w:p>
    <w:p w14:paraId="0EE1A06C" w14:textId="40213F95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 paridade no desempenho de erro transfere o critério de seleção do projeto estritamente para a complexidade algorítmica. A viabilidade de cada esquema é quantificada pelo número de operações aritméticas processadas por símbolo detectado. Ambos os detectores realiza</w:t>
      </w:r>
      <w:r w:rsidR="006030B2">
        <w:rPr>
          <w:rFonts w:ascii="Times New Roman" w:hAnsi="Times New Roman" w:cs="Times New Roman"/>
        </w:rPr>
        <w:t>m</w:t>
      </w:r>
      <w:r w:rsidRPr="002E35C6">
        <w:rPr>
          <w:rFonts w:ascii="Times New Roman" w:hAnsi="Times New Roman" w:cs="Times New Roman"/>
        </w:rPr>
        <w:t xml:space="preserve"> 8 subtrações, 4 cálculos de módulo e 3 comparações para determinar o símbolo mais provável. A diferença operativa concentra-se nas operações de escala: o </w:t>
      </w:r>
      <w:r w:rsidRPr="002E35C6">
        <w:rPr>
          <w:rFonts w:ascii="Times New Roman" w:hAnsi="Times New Roman" w:cs="Times New Roman"/>
        </w:rPr>
        <w:lastRenderedPageBreak/>
        <w:t xml:space="preserve">Detector I executa 8 multiplicações reais para modificar a constelação de referência, enquanto o Detector II requer apenas 2 divisões reais, já que realiza a </w:t>
      </w:r>
      <w:r w:rsidR="00FC7C75" w:rsidRPr="002E35C6">
        <w:rPr>
          <w:rFonts w:ascii="Times New Roman" w:hAnsi="Times New Roman" w:cs="Times New Roman"/>
        </w:rPr>
        <w:t>normalização</w:t>
      </w:r>
      <w:r w:rsidRPr="002E35C6">
        <w:rPr>
          <w:rFonts w:ascii="Times New Roman" w:hAnsi="Times New Roman" w:cs="Times New Roman"/>
        </w:rPr>
        <w:t xml:space="preserve"> da amostra de entrada uma única vez por intervalo de sinalização. Considerando que as arquiteturas de processamento digital modernas executam multiplicações e divisões com complexidades e latências rigorosamente similares, a acentuada redução na contagem bruta de operações elementares consolida o Detector II como a alternativa mais eficiente, diminuindo o consumo energético e os tempos de processamento em terminais móveis.</w:t>
      </w:r>
    </w:p>
    <w:p w14:paraId="5F242DB0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</w:p>
    <w:p w14:paraId="576EB2D1" w14:textId="77777777" w:rsidR="002E35C6" w:rsidRPr="002E35C6" w:rsidRDefault="002E35C6" w:rsidP="002E35C6">
      <w:pPr>
        <w:jc w:val="both"/>
        <w:rPr>
          <w:rFonts w:ascii="Times New Roman" w:hAnsi="Times New Roman" w:cs="Times New Roman"/>
          <w:b/>
          <w:bCs/>
        </w:rPr>
      </w:pPr>
      <w:r w:rsidRPr="002E35C6">
        <w:rPr>
          <w:rFonts w:ascii="Times New Roman" w:hAnsi="Times New Roman" w:cs="Times New Roman"/>
          <w:b/>
          <w:bCs/>
        </w:rPr>
        <w:t>ANÁLISE CRÍTICA</w:t>
      </w:r>
    </w:p>
    <w:p w14:paraId="4CCEED4B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 estrutura do manuscrito demonstra rigor metodológico, orientando o leitor de forma fluida desde a formulação do problema até a validação das hipóteses. A contribuição é tecnicamente fundamentada e possui aplicabilidade prática no desenvolvimento de hardware portátil com restrições de potência. O impacto científico geral, contudo, é moderado, visto que a pesquisa se concentra em uma comparação analítica de estratégias de decisão preexistentes, sem propor novos modelos de canal ou esquemas disruptivos de transmissão.</w:t>
      </w:r>
    </w:p>
    <w:p w14:paraId="39722944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O desenvolvimento das equações teóricas é consistente, mas revela assimetrias marcadas na complexidade das derivações. A formulação do Detector I é direta, obtida ao calcular a média da probabilidade de erro clássica sobre a distribuição Rayleigh. A dedução matemática do Detector II exige um nível de abstração superior. Ao dividir a amostra recebida pela amplitude aleatória do canal, a distribuição estatística do ruído efetivo é profundamente alterada, convertendo-se no quociente entre uma variável gaussiana e uma variável Rayleigh. Embora os autores apresentem esse processo no apêndice, as passagens algébricas intermediárias são desenvolvidas de forma extremamente compacta. A ausência de explicações conceituais e interpretações físicas eleva a barreira de compreensão, demandando do leitor um domínio prévio avançado em processos estocásticos e teoria das comunicações para acompanhar a sequência matemática.</w:t>
      </w:r>
    </w:p>
    <w:p w14:paraId="6BA5F96E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As limitações do estudo derivam da adoção de hipóteses operacionais estritamente idealizadas. O pressuposto de um desvanecimento plano e lentamente variante, associado a uma sincronização de fase e estimação de canal perfeitas, restringe a aplicação direta das conclusões a cenários práticos afetados por seletividade frequencial ou imperfeições reais de sincronismo. Os próprios autores reconhecem essa fronteira teórica, sugerindo a extensão do modelo para canais seletivos em frequência e a quantificação do impacto dos erros de estimação no receptor como passos necessários para trabalhos futuros.</w:t>
      </w:r>
    </w:p>
    <w:p w14:paraId="537B7F3A" w14:textId="77777777" w:rsidR="002E35C6" w:rsidRPr="002E35C6" w:rsidRDefault="002E35C6" w:rsidP="002E35C6">
      <w:pPr>
        <w:jc w:val="both"/>
        <w:rPr>
          <w:rFonts w:ascii="Times New Roman" w:hAnsi="Times New Roman" w:cs="Times New Roman"/>
          <w:b/>
          <w:bCs/>
        </w:rPr>
      </w:pPr>
      <w:r w:rsidRPr="002E35C6">
        <w:rPr>
          <w:rFonts w:ascii="Times New Roman" w:hAnsi="Times New Roman" w:cs="Times New Roman"/>
          <w:b/>
          <w:bCs/>
        </w:rPr>
        <w:t>CONCLUSÕES</w:t>
      </w:r>
    </w:p>
    <w:p w14:paraId="43CCC164" w14:textId="7777777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 xml:space="preserve">O estudo evidencia a importância de avaliar conjuntamente o desempenho de erro e a viabilidade computacional no projeto de receptores digitais, demonstrando que otimizações significativas podem surgir da reestruturação algorítmica interna sem a necessidade de modificar os parâmetros físicos de transmissão. Essa abordagem torna-se fundamental para o desenvolvimento de sistemas de comunicação portáteis, onde o </w:t>
      </w:r>
      <w:r w:rsidRPr="002E35C6">
        <w:rPr>
          <w:rFonts w:ascii="Times New Roman" w:hAnsi="Times New Roman" w:cs="Times New Roman"/>
        </w:rPr>
        <w:lastRenderedPageBreak/>
        <w:t>gerenciamento do consumo de energia e a capacidade de processamento são fatores determinantes para a autonomia dos dispositivos.</w:t>
      </w:r>
    </w:p>
    <w:p w14:paraId="7B48A962" w14:textId="3AB00757" w:rsidR="002E35C6" w:rsidRPr="002E35C6" w:rsidRDefault="002E35C6" w:rsidP="002E35C6">
      <w:pPr>
        <w:jc w:val="both"/>
        <w:rPr>
          <w:rFonts w:ascii="Times New Roman" w:hAnsi="Times New Roman" w:cs="Times New Roman"/>
        </w:rPr>
      </w:pPr>
      <w:r w:rsidRPr="002E35C6">
        <w:rPr>
          <w:rFonts w:ascii="Times New Roman" w:hAnsi="Times New Roman" w:cs="Times New Roman"/>
        </w:rPr>
        <w:t>A reprodução dos resultados em ambiente Python corroborou de forma prática as expressões analíticas e as simulações de Monte Carlo originais. Embora o alcance das conclusões seja mitigado pelo emprego de hipóteses operacionais simplificadas, como a perfeita estimação do canal e o desvanecimento não seletivo em frequência, a simplificação metodológica cumpre o papel de viabilizar soluções em forma fechada. O manuscrito cumpre o objetivo de fornecer um referencial formal, didático e consistente</w:t>
      </w:r>
      <w:r w:rsidR="004C1B43">
        <w:rPr>
          <w:rFonts w:ascii="Times New Roman" w:hAnsi="Times New Roman" w:cs="Times New Roman"/>
        </w:rPr>
        <w:t>.</w:t>
      </w:r>
    </w:p>
    <w:p w14:paraId="3E6AED56" w14:textId="77777777" w:rsidR="002E35C6" w:rsidRPr="002E35C6" w:rsidRDefault="002E35C6" w:rsidP="002E35C6">
      <w:pPr>
        <w:jc w:val="both"/>
      </w:pPr>
    </w:p>
    <w:p w14:paraId="495DACFD" w14:textId="77777777" w:rsidR="002E35C6" w:rsidRPr="002E35C6" w:rsidRDefault="002E35C6" w:rsidP="002E35C6">
      <w:pPr>
        <w:jc w:val="both"/>
      </w:pPr>
    </w:p>
    <w:p w14:paraId="18C5E6DE" w14:textId="77777777" w:rsidR="002E35C6" w:rsidRPr="00845584" w:rsidRDefault="002E35C6" w:rsidP="00845584">
      <w:pPr>
        <w:jc w:val="both"/>
      </w:pPr>
    </w:p>
    <w:p w14:paraId="4917FE54" w14:textId="77777777" w:rsidR="00354185" w:rsidRDefault="00354185"/>
    <w:sectPr w:rsidR="00354185" w:rsidSect="002E3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85"/>
    <w:rsid w:val="001A069C"/>
    <w:rsid w:val="002E35C6"/>
    <w:rsid w:val="00354185"/>
    <w:rsid w:val="004C1B43"/>
    <w:rsid w:val="00525539"/>
    <w:rsid w:val="006030B2"/>
    <w:rsid w:val="007D3BE1"/>
    <w:rsid w:val="00845584"/>
    <w:rsid w:val="008B714E"/>
    <w:rsid w:val="00F91F5D"/>
    <w:rsid w:val="00F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E68D"/>
  <w15:chartTrackingRefBased/>
  <w15:docId w15:val="{143B4D59-668B-437A-B6CF-BC9FD2EE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4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41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4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41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4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4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41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41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41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41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4185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2E35C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974B-5D4B-459D-87F7-F45704138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1176</Words>
  <Characters>6351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Arbolaez</dc:creator>
  <cp:keywords/>
  <dc:description/>
  <cp:lastModifiedBy>Alfredo Arbolaez</cp:lastModifiedBy>
  <cp:revision>10</cp:revision>
  <dcterms:created xsi:type="dcterms:W3CDTF">2026-05-26T19:26:00Z</dcterms:created>
  <dcterms:modified xsi:type="dcterms:W3CDTF">2026-05-27T13:03:00Z</dcterms:modified>
</cp:coreProperties>
</file>