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C7928" w14:textId="7BA90F81" w:rsidR="007E6378" w:rsidRDefault="007A544B" w:rsidP="007A544B">
      <w:pPr>
        <w:pStyle w:val="Title"/>
      </w:pPr>
      <w:r>
        <w:t>Korea Report Book Cover</w:t>
      </w:r>
    </w:p>
    <w:p w14:paraId="0AF13DFA" w14:textId="26C3BFE0" w:rsidR="007A544B" w:rsidRPr="007A544B" w:rsidRDefault="007A544B" w:rsidP="007A544B">
      <w:pPr>
        <w:rPr>
          <w:rFonts w:eastAsiaTheme="minorEastAsia"/>
          <w:color w:val="5A5A5A" w:themeColor="text1" w:themeTint="A5"/>
          <w:spacing w:val="15"/>
        </w:rPr>
      </w:pPr>
      <w:r w:rsidRPr="007A544B">
        <w:rPr>
          <w:rFonts w:eastAsiaTheme="minorEastAsia"/>
          <w:color w:val="5A5A5A" w:themeColor="text1" w:themeTint="A5"/>
          <w:spacing w:val="15"/>
        </w:rPr>
        <w:t>From the Korea Report and The Korea Report Appendix (Unofficial</w:t>
      </w:r>
      <w:r>
        <w:rPr>
          <w:rFonts w:eastAsiaTheme="minorEastAsia"/>
          <w:color w:val="5A5A5A" w:themeColor="text1" w:themeTint="A5"/>
          <w:spacing w:val="15"/>
        </w:rPr>
        <w:t xml:space="preserve"> 1.0</w:t>
      </w:r>
      <w:r w:rsidRPr="007A544B">
        <w:rPr>
          <w:rFonts w:eastAsiaTheme="minorEastAsia"/>
          <w:color w:val="5A5A5A" w:themeColor="text1" w:themeTint="A5"/>
          <w:spacing w:val="15"/>
        </w:rPr>
        <w:t xml:space="preserve"> </w:t>
      </w:r>
      <w:r>
        <w:rPr>
          <w:rFonts w:eastAsiaTheme="minorEastAsia"/>
          <w:color w:val="5A5A5A" w:themeColor="text1" w:themeTint="A5"/>
          <w:spacing w:val="15"/>
        </w:rPr>
        <w:t xml:space="preserve">English </w:t>
      </w:r>
      <w:r w:rsidRPr="007A544B">
        <w:rPr>
          <w:rFonts w:eastAsiaTheme="minorEastAsia"/>
          <w:color w:val="5A5A5A" w:themeColor="text1" w:themeTint="A5"/>
          <w:spacing w:val="15"/>
        </w:rPr>
        <w:t>Version)</w:t>
      </w:r>
    </w:p>
    <w:p w14:paraId="0E8C5702" w14:textId="2AD16098" w:rsidR="007A544B" w:rsidRDefault="007A544B" w:rsidP="007A544B">
      <w:pPr>
        <w:rPr>
          <w:rStyle w:val="SubtleEmphasis"/>
        </w:rPr>
      </w:pPr>
      <w:r>
        <w:rPr>
          <w:rStyle w:val="SubtleEmphasis"/>
        </w:rPr>
        <w:t>John Friedman Updated March 12</w:t>
      </w:r>
      <w:r w:rsidRPr="007A544B">
        <w:rPr>
          <w:rStyle w:val="SubtleEmphasis"/>
          <w:vertAlign w:val="superscript"/>
        </w:rPr>
        <w:t>th</w:t>
      </w:r>
      <w:r>
        <w:rPr>
          <w:rStyle w:val="SubtleEmphasis"/>
        </w:rPr>
        <w:t>, 2020</w:t>
      </w:r>
    </w:p>
    <w:p w14:paraId="3D736423" w14:textId="68709E35" w:rsidR="008835A8" w:rsidRDefault="008835A8" w:rsidP="008835A8">
      <w:pPr>
        <w:pStyle w:val="Heading1"/>
        <w:rPr>
          <w:rStyle w:val="SubtleEmphasis"/>
          <w:i w:val="0"/>
          <w:iCs w:val="0"/>
          <w:color w:val="2F5496" w:themeColor="accent1" w:themeShade="BF"/>
        </w:rPr>
      </w:pPr>
      <w:r>
        <w:rPr>
          <w:rStyle w:val="SubtleEmphasis"/>
          <w:i w:val="0"/>
          <w:iCs w:val="0"/>
          <w:color w:val="2F5496" w:themeColor="accent1" w:themeShade="BF"/>
        </w:rPr>
        <w:t>Quick Summary:</w:t>
      </w:r>
    </w:p>
    <w:p w14:paraId="4372506A" w14:textId="77777777" w:rsidR="003324F4" w:rsidRPr="003324F4" w:rsidRDefault="003324F4" w:rsidP="003324F4"/>
    <w:p w14:paraId="0D0FC95C" w14:textId="3E970C01" w:rsidR="007A544B" w:rsidRDefault="00C12477" w:rsidP="007A544B">
      <w:pPr>
        <w:pStyle w:val="Heading1"/>
      </w:pPr>
      <w:r>
        <w:t xml:space="preserve">Quick </w:t>
      </w:r>
      <w:r w:rsidR="00A1641E">
        <w:t>Tags</w:t>
      </w:r>
      <w:r>
        <w:t xml:space="preserve"> for Stakeholders:</w:t>
      </w:r>
    </w:p>
    <w:p w14:paraId="2DC29111" w14:textId="09FDFDC7" w:rsidR="00C12477" w:rsidRDefault="00A1641E" w:rsidP="00C12477">
      <w:pPr>
        <w:pStyle w:val="ListParagraph"/>
        <w:numPr>
          <w:ilvl w:val="0"/>
          <w:numId w:val="26"/>
        </w:numPr>
      </w:pPr>
      <w:r w:rsidRPr="00A1641E">
        <w:rPr>
          <w:highlight w:val="yellow"/>
        </w:rPr>
        <w:t>(ADM)</w:t>
      </w:r>
      <w:r w:rsidR="00C12477">
        <w:t xml:space="preserve"> – </w:t>
      </w:r>
      <w:r>
        <w:t>For local administrators</w:t>
      </w:r>
    </w:p>
    <w:p w14:paraId="57B5D042" w14:textId="7227DB73" w:rsidR="00C12477" w:rsidRDefault="00A1641E" w:rsidP="00C12477">
      <w:pPr>
        <w:pStyle w:val="ListParagraph"/>
        <w:numPr>
          <w:ilvl w:val="0"/>
          <w:numId w:val="26"/>
        </w:numPr>
      </w:pPr>
      <w:r w:rsidRPr="00A1641E">
        <w:rPr>
          <w:highlight w:val="darkBlue"/>
        </w:rPr>
        <w:t>(DOC)</w:t>
      </w:r>
      <w:r w:rsidR="00C12477">
        <w:t xml:space="preserve"> – </w:t>
      </w:r>
      <w:r>
        <w:t>For health workers</w:t>
      </w:r>
    </w:p>
    <w:p w14:paraId="1ACD3CFE" w14:textId="740F56B1" w:rsidR="0068077A" w:rsidRDefault="00A1641E" w:rsidP="00C12477">
      <w:pPr>
        <w:pStyle w:val="ListParagraph"/>
        <w:numPr>
          <w:ilvl w:val="0"/>
          <w:numId w:val="26"/>
        </w:numPr>
      </w:pPr>
      <w:r w:rsidRPr="00A1641E">
        <w:rPr>
          <w:highlight w:val="darkGreen"/>
        </w:rPr>
        <w:t>(HOS)</w:t>
      </w:r>
      <w:r w:rsidR="0068077A">
        <w:t xml:space="preserve"> – </w:t>
      </w:r>
      <w:r>
        <w:t xml:space="preserve">For </w:t>
      </w:r>
      <w:r w:rsidR="0068077A">
        <w:t>he</w:t>
      </w:r>
      <w:r>
        <w:t>alth centers</w:t>
      </w:r>
    </w:p>
    <w:p w14:paraId="20EA0139" w14:textId="3AC94548" w:rsidR="00A1641E" w:rsidRDefault="00A1641E" w:rsidP="00A1641E">
      <w:pPr>
        <w:pStyle w:val="ListParagraph"/>
        <w:numPr>
          <w:ilvl w:val="0"/>
          <w:numId w:val="26"/>
        </w:numPr>
      </w:pPr>
      <w:r w:rsidRPr="00A1641E">
        <w:rPr>
          <w:highlight w:val="darkMagenta"/>
        </w:rPr>
        <w:t>(TST)</w:t>
      </w:r>
      <w:r w:rsidR="0068077A">
        <w:t xml:space="preserve"> – </w:t>
      </w:r>
      <w:r>
        <w:t>For</w:t>
      </w:r>
      <w:r w:rsidR="0068077A">
        <w:t xml:space="preserve"> testing centers</w:t>
      </w:r>
    </w:p>
    <w:p w14:paraId="46BA3028" w14:textId="79EACC5F" w:rsidR="00A1641E" w:rsidRDefault="00A1641E" w:rsidP="00A1641E">
      <w:pPr>
        <w:pStyle w:val="ListParagraph"/>
        <w:numPr>
          <w:ilvl w:val="0"/>
          <w:numId w:val="26"/>
        </w:numPr>
      </w:pPr>
      <w:r w:rsidRPr="00A1641E">
        <w:rPr>
          <w:highlight w:val="magenta"/>
        </w:rPr>
        <w:t>(EPI)</w:t>
      </w:r>
      <w:r w:rsidR="00C12477">
        <w:t xml:space="preserve"> – </w:t>
      </w:r>
      <w:r>
        <w:t>For</w:t>
      </w:r>
      <w:r w:rsidR="00C12477">
        <w:t xml:space="preserve"> epidemiologists</w:t>
      </w:r>
    </w:p>
    <w:p w14:paraId="341C0803" w14:textId="507EDD7D" w:rsidR="00C12477" w:rsidRPr="00C12477" w:rsidRDefault="00A1641E" w:rsidP="00A1641E">
      <w:pPr>
        <w:pStyle w:val="ListParagraph"/>
        <w:numPr>
          <w:ilvl w:val="0"/>
          <w:numId w:val="26"/>
        </w:numPr>
      </w:pPr>
      <w:r>
        <w:t xml:space="preserve"> </w:t>
      </w:r>
      <w:r w:rsidRPr="00A1641E">
        <w:rPr>
          <w:highlight w:val="green"/>
        </w:rPr>
        <w:t>(*)</w:t>
      </w:r>
      <w:r w:rsidR="00C12477">
        <w:t xml:space="preserve"> – </w:t>
      </w:r>
      <w:r>
        <w:t>Quick summaries</w:t>
      </w:r>
    </w:p>
    <w:p w14:paraId="4775794E" w14:textId="235E1C2A" w:rsidR="007A544B" w:rsidRDefault="007A544B" w:rsidP="007A544B">
      <w:pPr>
        <w:pStyle w:val="Heading1"/>
      </w:pPr>
      <w:r>
        <w:t>Korea Report</w:t>
      </w:r>
    </w:p>
    <w:p w14:paraId="6C6B45B5" w14:textId="7F440F88" w:rsidR="007A544B" w:rsidRPr="007A544B" w:rsidRDefault="007A544B" w:rsidP="007A544B">
      <w:pPr>
        <w:pStyle w:val="Heading2"/>
      </w:pPr>
      <w:r>
        <w:t>Section 1:</w:t>
      </w:r>
    </w:p>
    <w:p w14:paraId="1EFA9528" w14:textId="050CABFB" w:rsidR="007A544B" w:rsidRDefault="00523210" w:rsidP="007A544B">
      <w:pPr>
        <w:pStyle w:val="ListParagraph"/>
        <w:numPr>
          <w:ilvl w:val="0"/>
          <w:numId w:val="2"/>
        </w:numPr>
      </w:pPr>
      <w:r>
        <w:t>Pg.</w:t>
      </w:r>
      <w:r w:rsidR="007A544B">
        <w:t xml:space="preserve"> 7-8: </w:t>
      </w:r>
      <w:r w:rsidR="007A544B" w:rsidRPr="007A544B">
        <w:t>Central Disease Control Headquarters (CDCH) Departments</w:t>
      </w:r>
      <w:r w:rsidR="003324F4">
        <w:t xml:space="preserve"> (GOV) </w:t>
      </w:r>
      <w:r w:rsidR="00A1641E" w:rsidRPr="00A1641E">
        <w:rPr>
          <w:highlight w:val="green"/>
        </w:rPr>
        <w:t>(*)</w:t>
      </w:r>
    </w:p>
    <w:p w14:paraId="021184D8" w14:textId="63988E32" w:rsidR="007A544B" w:rsidRDefault="00523210" w:rsidP="007A544B">
      <w:pPr>
        <w:pStyle w:val="ListParagraph"/>
        <w:numPr>
          <w:ilvl w:val="0"/>
          <w:numId w:val="2"/>
        </w:numPr>
      </w:pPr>
      <w:r>
        <w:t>Pg.</w:t>
      </w:r>
      <w:r w:rsidR="007A544B">
        <w:t xml:space="preserve"> 9: background on coronavirus</w:t>
      </w:r>
      <w:r w:rsidR="003324F4">
        <w:t xml:space="preserve"> </w:t>
      </w:r>
      <w:r w:rsidR="00A1641E" w:rsidRPr="00A1641E">
        <w:rPr>
          <w:highlight w:val="green"/>
        </w:rPr>
        <w:t>(*)</w:t>
      </w:r>
    </w:p>
    <w:p w14:paraId="0FD040B8" w14:textId="0D1A1DC0" w:rsidR="007A544B" w:rsidRDefault="00523210" w:rsidP="007A544B">
      <w:pPr>
        <w:pStyle w:val="ListParagraph"/>
        <w:numPr>
          <w:ilvl w:val="0"/>
          <w:numId w:val="2"/>
        </w:numPr>
      </w:pPr>
      <w:r>
        <w:t>Pg.</w:t>
      </w:r>
      <w:r w:rsidR="007A544B">
        <w:t xml:space="preserve"> 10: </w:t>
      </w:r>
      <w:r w:rsidR="007A544B" w:rsidRPr="007A544B">
        <w:t>Coronavirus Disease 2019 (COVID-19) Related Information</w:t>
      </w:r>
      <w:r w:rsidR="007A544B">
        <w:t xml:space="preserve"> </w:t>
      </w:r>
      <w:r w:rsidR="00A1641E" w:rsidRPr="00A1641E">
        <w:rPr>
          <w:highlight w:val="green"/>
        </w:rPr>
        <w:t>(*)</w:t>
      </w:r>
    </w:p>
    <w:p w14:paraId="1E5CD4E1" w14:textId="7EE21234" w:rsidR="007A544B" w:rsidRDefault="007A544B" w:rsidP="007A544B">
      <w:pPr>
        <w:pStyle w:val="Heading2"/>
      </w:pPr>
      <w:r>
        <w:t>Section 2:</w:t>
      </w:r>
    </w:p>
    <w:p w14:paraId="41E157F1" w14:textId="5D5B9006" w:rsidR="007A544B" w:rsidRDefault="00523210" w:rsidP="007A544B">
      <w:pPr>
        <w:pStyle w:val="ListParagraph"/>
        <w:numPr>
          <w:ilvl w:val="0"/>
          <w:numId w:val="3"/>
        </w:numPr>
      </w:pPr>
      <w:r>
        <w:t>Pg.</w:t>
      </w:r>
      <w:r w:rsidR="007A544B">
        <w:t xml:space="preserve"> 11: </w:t>
      </w:r>
      <w:r w:rsidR="003324F4">
        <w:t>R</w:t>
      </w:r>
      <w:r w:rsidR="007A544B">
        <w:t>esponse protocols</w:t>
      </w:r>
      <w:r w:rsidR="003324F4">
        <w:t xml:space="preserve"> (GOV) </w:t>
      </w:r>
      <w:r w:rsidR="00A1641E" w:rsidRPr="00A1641E">
        <w:rPr>
          <w:highlight w:val="green"/>
        </w:rPr>
        <w:t>(*)</w:t>
      </w:r>
    </w:p>
    <w:p w14:paraId="230AC2E0" w14:textId="4C6EE490" w:rsidR="007A544B" w:rsidRDefault="00523210" w:rsidP="007A544B">
      <w:pPr>
        <w:pStyle w:val="ListParagraph"/>
        <w:numPr>
          <w:ilvl w:val="0"/>
          <w:numId w:val="3"/>
        </w:numPr>
      </w:pPr>
      <w:r>
        <w:t>Pg.</w:t>
      </w:r>
      <w:r w:rsidR="007A544B">
        <w:t xml:space="preserve"> 12: </w:t>
      </w:r>
      <w:r w:rsidR="003324F4">
        <w:t>I</w:t>
      </w:r>
      <w:r w:rsidR="007A544B">
        <w:t>mplementation protocol</w:t>
      </w:r>
      <w:r w:rsidR="003324F4">
        <w:t xml:space="preserve"> (</w:t>
      </w:r>
      <w:r w:rsidR="003324F4" w:rsidRPr="003324F4">
        <w:t>GOV</w:t>
      </w:r>
      <w:r w:rsidR="003324F4">
        <w:t>)</w:t>
      </w:r>
    </w:p>
    <w:p w14:paraId="1A095F25" w14:textId="0A451A63" w:rsidR="007A544B" w:rsidRDefault="00523210" w:rsidP="003324F4">
      <w:pPr>
        <w:pStyle w:val="ListParagraph"/>
        <w:numPr>
          <w:ilvl w:val="0"/>
          <w:numId w:val="3"/>
        </w:numPr>
      </w:pPr>
      <w:r>
        <w:t>Pg.</w:t>
      </w:r>
      <w:r w:rsidR="007A544B">
        <w:t xml:space="preserve"> 14-15: Division of Organization responsibilities</w:t>
      </w:r>
      <w:r w:rsidR="003324F4">
        <w:t xml:space="preserve"> </w:t>
      </w:r>
      <w:r w:rsidR="00A1641E" w:rsidRPr="00A1641E">
        <w:rPr>
          <w:highlight w:val="yellow"/>
        </w:rPr>
        <w:t>(</w:t>
      </w:r>
      <w:r w:rsidR="00A1641E" w:rsidRPr="00A1641E">
        <w:rPr>
          <w:highlight w:val="yellow"/>
        </w:rPr>
        <w:t>ADM</w:t>
      </w:r>
      <w:r w:rsidR="00A1641E" w:rsidRPr="00A1641E">
        <w:rPr>
          <w:highlight w:val="yellow"/>
        </w:rPr>
        <w:t>)</w:t>
      </w:r>
    </w:p>
    <w:p w14:paraId="66DC3FD2" w14:textId="3DFBA99E" w:rsidR="007A544B" w:rsidRDefault="00523210" w:rsidP="007A544B">
      <w:pPr>
        <w:pStyle w:val="ListParagraph"/>
        <w:numPr>
          <w:ilvl w:val="0"/>
          <w:numId w:val="3"/>
        </w:numPr>
      </w:pPr>
      <w:r>
        <w:t>Pg.</w:t>
      </w:r>
      <w:r w:rsidR="007A544B">
        <w:t xml:space="preserve"> 15-16: </w:t>
      </w:r>
      <w:r w:rsidR="007A544B" w:rsidRPr="007A544B">
        <w:t>Municipal COVID-19 Immediate Response Task Force</w:t>
      </w:r>
      <w:r w:rsidR="003324F4">
        <w:t xml:space="preserve"> </w:t>
      </w:r>
      <w:r w:rsidR="00A1641E" w:rsidRPr="00A1641E">
        <w:rPr>
          <w:highlight w:val="yellow"/>
        </w:rPr>
        <w:t>(ADM)</w:t>
      </w:r>
    </w:p>
    <w:p w14:paraId="321D2E75" w14:textId="7E0CD4A0" w:rsidR="007A544B" w:rsidRDefault="00523210" w:rsidP="007A544B">
      <w:pPr>
        <w:pStyle w:val="ListParagraph"/>
        <w:numPr>
          <w:ilvl w:val="0"/>
          <w:numId w:val="3"/>
        </w:numPr>
      </w:pPr>
      <w:r>
        <w:t>Pg.</w:t>
      </w:r>
      <w:r w:rsidR="007A544B">
        <w:t xml:space="preserve"> 17: </w:t>
      </w:r>
      <w:r w:rsidR="007A544B" w:rsidRPr="007A544B">
        <w:t>Municipal COVID-19 Patient Management Task Force</w:t>
      </w:r>
      <w:r w:rsidR="003324F4">
        <w:t xml:space="preserve"> </w:t>
      </w:r>
      <w:r w:rsidR="00A1641E" w:rsidRPr="00A1641E">
        <w:rPr>
          <w:highlight w:val="yellow"/>
        </w:rPr>
        <w:t>(ADM)</w:t>
      </w:r>
    </w:p>
    <w:p w14:paraId="2980027F" w14:textId="46401DC3" w:rsidR="007A544B" w:rsidRDefault="007A544B" w:rsidP="007A544B">
      <w:pPr>
        <w:pStyle w:val="Heading2"/>
      </w:pPr>
      <w:r>
        <w:t xml:space="preserve">Section 3: </w:t>
      </w:r>
      <w:r w:rsidRPr="007A544B">
        <w:t>Case Definitions and Management Methods</w:t>
      </w:r>
    </w:p>
    <w:p w14:paraId="24C2A2E0" w14:textId="2ABA72F2" w:rsidR="007A544B" w:rsidRDefault="00523210" w:rsidP="007A544B">
      <w:pPr>
        <w:pStyle w:val="ListParagraph"/>
        <w:numPr>
          <w:ilvl w:val="0"/>
          <w:numId w:val="4"/>
        </w:numPr>
      </w:pPr>
      <w:r>
        <w:t>Pg.</w:t>
      </w:r>
      <w:r w:rsidR="007A544B">
        <w:t xml:space="preserve"> 18: </w:t>
      </w:r>
      <w:r w:rsidR="003324F4">
        <w:t>C</w:t>
      </w:r>
      <w:r w:rsidR="007A544B">
        <w:t xml:space="preserve">ase definitions </w:t>
      </w:r>
      <w:r w:rsidR="00A1641E" w:rsidRPr="00A1641E">
        <w:rPr>
          <w:highlight w:val="green"/>
        </w:rPr>
        <w:t>(*)</w:t>
      </w:r>
      <w:r w:rsidR="001A1D9D">
        <w:t xml:space="preserve"> </w:t>
      </w:r>
      <w:r w:rsidR="00A1641E" w:rsidRPr="00A1641E">
        <w:rPr>
          <w:highlight w:val="magenta"/>
        </w:rPr>
        <w:t>(EPI)</w:t>
      </w:r>
      <w:r w:rsidR="001A1D9D">
        <w:t xml:space="preserve"> </w:t>
      </w:r>
      <w:r w:rsidR="00A1641E" w:rsidRPr="00A1641E">
        <w:rPr>
          <w:highlight w:val="darkBlue"/>
        </w:rPr>
        <w:t>(DOC)</w:t>
      </w:r>
    </w:p>
    <w:p w14:paraId="0B0A40AD" w14:textId="18665A0E" w:rsidR="007A544B" w:rsidRDefault="00523210" w:rsidP="007A544B">
      <w:pPr>
        <w:pStyle w:val="ListParagraph"/>
        <w:numPr>
          <w:ilvl w:val="0"/>
          <w:numId w:val="4"/>
        </w:numPr>
      </w:pPr>
      <w:r>
        <w:t>Pg.</w:t>
      </w:r>
      <w:r w:rsidR="007A544B">
        <w:t xml:space="preserve"> 19: </w:t>
      </w:r>
      <w:r w:rsidR="007A544B" w:rsidRPr="007A544B">
        <w:t>Cases subject to reporting</w:t>
      </w:r>
      <w:r w:rsidR="001A1D9D">
        <w:t xml:space="preserve"> </w:t>
      </w:r>
      <w:r w:rsidR="00A1641E" w:rsidRPr="00A1641E">
        <w:rPr>
          <w:highlight w:val="green"/>
        </w:rPr>
        <w:t>(*)</w:t>
      </w:r>
    </w:p>
    <w:p w14:paraId="144A29EE" w14:textId="471BB544" w:rsidR="007A544B" w:rsidRDefault="00523210" w:rsidP="007A544B">
      <w:pPr>
        <w:pStyle w:val="ListParagraph"/>
        <w:numPr>
          <w:ilvl w:val="0"/>
          <w:numId w:val="4"/>
        </w:numPr>
      </w:pPr>
      <w:r>
        <w:t>Pg.</w:t>
      </w:r>
      <w:r w:rsidR="007A544B">
        <w:t xml:space="preserve"> 19: laboratory testing fee subsidy</w:t>
      </w:r>
    </w:p>
    <w:p w14:paraId="043B5F34" w14:textId="450DFD69" w:rsidR="003006E1" w:rsidRDefault="00523210" w:rsidP="007A544B">
      <w:pPr>
        <w:pStyle w:val="ListParagraph"/>
        <w:numPr>
          <w:ilvl w:val="0"/>
          <w:numId w:val="4"/>
        </w:numPr>
      </w:pPr>
      <w:r>
        <w:t>Pg.</w:t>
      </w:r>
      <w:r w:rsidR="007A544B">
        <w:t xml:space="preserve"> 19: </w:t>
      </w:r>
      <w:r w:rsidR="007A544B" w:rsidRPr="007A544B">
        <w:t>Close Contact Definitions</w:t>
      </w:r>
      <w:r w:rsidR="007A544B">
        <w:t xml:space="preserve"> </w:t>
      </w:r>
      <w:r w:rsidR="00A1641E" w:rsidRPr="00A1641E">
        <w:rPr>
          <w:highlight w:val="green"/>
        </w:rPr>
        <w:t>(*)</w:t>
      </w:r>
      <w:r w:rsidR="001A1D9D">
        <w:t xml:space="preserve"> </w:t>
      </w:r>
      <w:r w:rsidR="00A1641E" w:rsidRPr="00A1641E">
        <w:rPr>
          <w:highlight w:val="magenta"/>
        </w:rPr>
        <w:t>(EPI)</w:t>
      </w:r>
      <w:r w:rsidR="001A1D9D" w:rsidRPr="001A1D9D">
        <w:t xml:space="preserve"> </w:t>
      </w:r>
      <w:r w:rsidR="00A1641E" w:rsidRPr="00A1641E">
        <w:rPr>
          <w:highlight w:val="darkBlue"/>
        </w:rPr>
        <w:t>(DOC)</w:t>
      </w:r>
      <w:r w:rsidR="00A1641E">
        <w:t xml:space="preserve"> </w:t>
      </w:r>
      <w:r w:rsidR="00A1641E" w:rsidRPr="00A1641E">
        <w:rPr>
          <w:highlight w:val="darkGreen"/>
        </w:rPr>
        <w:t>(HOS)</w:t>
      </w:r>
    </w:p>
    <w:p w14:paraId="1951E6C6" w14:textId="53157726" w:rsidR="003006E1" w:rsidRDefault="003006E1" w:rsidP="003006E1">
      <w:pPr>
        <w:pStyle w:val="Heading3"/>
      </w:pPr>
      <w:r w:rsidRPr="003006E1">
        <w:t>Management (Surveillance) Methods</w:t>
      </w:r>
      <w:bookmarkStart w:id="0" w:name="_GoBack"/>
      <w:bookmarkEnd w:id="0"/>
    </w:p>
    <w:p w14:paraId="7988D7B9" w14:textId="0848CEFA" w:rsidR="003006E1" w:rsidRDefault="00523210" w:rsidP="003006E1">
      <w:pPr>
        <w:pStyle w:val="ListParagraph"/>
        <w:numPr>
          <w:ilvl w:val="0"/>
          <w:numId w:val="5"/>
        </w:numPr>
      </w:pPr>
      <w:r>
        <w:t>Pg.</w:t>
      </w:r>
      <w:r w:rsidR="003006E1">
        <w:t xml:space="preserve"> 20: Subject Monitoring </w:t>
      </w:r>
      <w:r w:rsidR="00A1641E" w:rsidRPr="00A1641E">
        <w:rPr>
          <w:highlight w:val="darkGreen"/>
        </w:rPr>
        <w:t>(HOS)</w:t>
      </w:r>
      <w:r w:rsidR="001A1D9D">
        <w:t xml:space="preserve"> </w:t>
      </w:r>
    </w:p>
    <w:p w14:paraId="7C1A7F0A" w14:textId="12B8818C" w:rsidR="003006E1" w:rsidRDefault="00523210" w:rsidP="003006E1">
      <w:pPr>
        <w:pStyle w:val="ListParagraph"/>
        <w:numPr>
          <w:ilvl w:val="0"/>
          <w:numId w:val="5"/>
        </w:numPr>
      </w:pPr>
      <w:r>
        <w:t>Pg.</w:t>
      </w:r>
      <w:r w:rsidR="003006E1">
        <w:t xml:space="preserve"> 20: </w:t>
      </w:r>
      <w:r w:rsidR="003006E1" w:rsidRPr="003006E1">
        <w:t>Health Education</w:t>
      </w:r>
      <w:r w:rsidR="003006E1">
        <w:t xml:space="preserve"> </w:t>
      </w:r>
      <w:r w:rsidR="00A1641E" w:rsidRPr="00A1641E">
        <w:rPr>
          <w:highlight w:val="darkGreen"/>
        </w:rPr>
        <w:t>(HOS)</w:t>
      </w:r>
    </w:p>
    <w:p w14:paraId="0F827EBE" w14:textId="07A12B9D" w:rsidR="003006E1" w:rsidRDefault="00523210" w:rsidP="003006E1">
      <w:pPr>
        <w:pStyle w:val="ListParagraph"/>
        <w:numPr>
          <w:ilvl w:val="0"/>
          <w:numId w:val="5"/>
        </w:numPr>
      </w:pPr>
      <w:r>
        <w:t>Pg.</w:t>
      </w:r>
      <w:r w:rsidR="003006E1">
        <w:t xml:space="preserve"> 20-21: </w:t>
      </w:r>
      <w:r w:rsidR="003006E1" w:rsidRPr="003006E1">
        <w:t xml:space="preserve">Quarantine/Isolation </w:t>
      </w:r>
      <w:r w:rsidR="001A1D9D" w:rsidRPr="003006E1">
        <w:t>Measures</w:t>
      </w:r>
      <w:r w:rsidR="001A1D9D">
        <w:t xml:space="preserve"> </w:t>
      </w:r>
      <w:r w:rsidR="00A1641E" w:rsidRPr="00A1641E">
        <w:rPr>
          <w:highlight w:val="green"/>
        </w:rPr>
        <w:t>(*)</w:t>
      </w:r>
      <w:r w:rsidR="001A1D9D">
        <w:t xml:space="preserve"> </w:t>
      </w:r>
      <w:r w:rsidR="00A1641E" w:rsidRPr="00A1641E">
        <w:rPr>
          <w:highlight w:val="darkGreen"/>
        </w:rPr>
        <w:t>(HOS)</w:t>
      </w:r>
    </w:p>
    <w:p w14:paraId="7BA8EA3C" w14:textId="2F4E9388" w:rsidR="003006E1" w:rsidRDefault="00523210" w:rsidP="003006E1">
      <w:pPr>
        <w:pStyle w:val="ListParagraph"/>
        <w:numPr>
          <w:ilvl w:val="0"/>
          <w:numId w:val="5"/>
        </w:numPr>
      </w:pPr>
      <w:r>
        <w:t>Pg.</w:t>
      </w:r>
      <w:r w:rsidR="003006E1">
        <w:t xml:space="preserve"> 21: Clarification of </w:t>
      </w:r>
      <w:r w:rsidR="001A1D9D">
        <w:t>high-risk</w:t>
      </w:r>
      <w:r w:rsidR="003006E1">
        <w:t xml:space="preserve"> group</w:t>
      </w:r>
    </w:p>
    <w:p w14:paraId="0159D3CD" w14:textId="2B7C8582" w:rsidR="003006E1" w:rsidRDefault="003006E1" w:rsidP="003006E1">
      <w:pPr>
        <w:pStyle w:val="Heading2"/>
      </w:pPr>
      <w:r>
        <w:lastRenderedPageBreak/>
        <w:t xml:space="preserve">Section 4: </w:t>
      </w:r>
      <w:r w:rsidRPr="003006E1">
        <w:t>Responding to Suspected Cases and Patients Under Investigation (PUI)</w:t>
      </w:r>
    </w:p>
    <w:p w14:paraId="631A9282" w14:textId="5CE2DDAE" w:rsidR="003006E1" w:rsidRDefault="00523210" w:rsidP="003006E1">
      <w:pPr>
        <w:pStyle w:val="ListParagraph"/>
        <w:numPr>
          <w:ilvl w:val="0"/>
          <w:numId w:val="6"/>
        </w:numPr>
      </w:pPr>
      <w:r>
        <w:t>Pg.</w:t>
      </w:r>
      <w:r w:rsidR="003006E1">
        <w:t xml:space="preserve"> 22: </w:t>
      </w:r>
      <w:r w:rsidR="003006E1" w:rsidRPr="003006E1">
        <w:t>Suspected Case</w:t>
      </w:r>
      <w:r w:rsidR="003006E1">
        <w:t xml:space="preserve"> Flowchart </w:t>
      </w:r>
      <w:r w:rsidR="00A1641E" w:rsidRPr="00A1641E">
        <w:rPr>
          <w:highlight w:val="magenta"/>
        </w:rPr>
        <w:t>(EPI)</w:t>
      </w:r>
      <w:r w:rsidR="00A1641E">
        <w:t xml:space="preserve"> </w:t>
      </w:r>
      <w:r w:rsidR="00A1641E" w:rsidRPr="00A1641E">
        <w:rPr>
          <w:highlight w:val="darkGreen"/>
        </w:rPr>
        <w:t>(HOS)</w:t>
      </w:r>
    </w:p>
    <w:p w14:paraId="4E2C0F51" w14:textId="3D6D4CA8" w:rsidR="003006E1" w:rsidRDefault="00523210" w:rsidP="003006E1">
      <w:pPr>
        <w:pStyle w:val="ListParagraph"/>
        <w:numPr>
          <w:ilvl w:val="0"/>
          <w:numId w:val="6"/>
        </w:numPr>
      </w:pPr>
      <w:r>
        <w:t>Pg.</w:t>
      </w:r>
      <w:r w:rsidR="003006E1">
        <w:t xml:space="preserve"> 23: </w:t>
      </w:r>
      <w:r w:rsidR="003006E1" w:rsidRPr="003006E1">
        <w:t>Patient Under Investigation (PUI)</w:t>
      </w:r>
      <w:r w:rsidR="003006E1">
        <w:t xml:space="preserve"> Flowchart </w:t>
      </w:r>
      <w:r w:rsidR="00A1641E" w:rsidRPr="00A1641E">
        <w:rPr>
          <w:highlight w:val="magenta"/>
        </w:rPr>
        <w:t>(EPI)</w:t>
      </w:r>
      <w:r w:rsidR="00A1641E">
        <w:t xml:space="preserve"> </w:t>
      </w:r>
      <w:r w:rsidR="00A1641E" w:rsidRPr="00A1641E">
        <w:rPr>
          <w:highlight w:val="darkGreen"/>
        </w:rPr>
        <w:t>(HOS)</w:t>
      </w:r>
    </w:p>
    <w:p w14:paraId="379C99B9" w14:textId="6172DEDB" w:rsidR="003006E1" w:rsidRDefault="00523210" w:rsidP="003006E1">
      <w:pPr>
        <w:pStyle w:val="ListParagraph"/>
        <w:numPr>
          <w:ilvl w:val="0"/>
          <w:numId w:val="6"/>
        </w:numPr>
      </w:pPr>
      <w:r>
        <w:t>Pg.</w:t>
      </w:r>
      <w:r w:rsidR="003006E1">
        <w:t xml:space="preserve"> 23</w:t>
      </w:r>
      <w:r>
        <w:t xml:space="preserve"> (Duplicate of Pg. 20 guidelines)</w:t>
      </w:r>
      <w:r w:rsidR="003006E1">
        <w:t>: He</w:t>
      </w:r>
      <w:r w:rsidR="003006E1" w:rsidRPr="003006E1">
        <w:t>alth education</w:t>
      </w:r>
      <w:r w:rsidR="003006E1">
        <w:t xml:space="preserve"> </w:t>
      </w:r>
      <w:r w:rsidR="00A1641E" w:rsidRPr="00A1641E">
        <w:rPr>
          <w:highlight w:val="yellow"/>
        </w:rPr>
        <w:t>(ADM)</w:t>
      </w:r>
      <w:r>
        <w:t xml:space="preserve"> </w:t>
      </w:r>
    </w:p>
    <w:p w14:paraId="5E6610B7" w14:textId="654D3798" w:rsidR="003006E1" w:rsidRDefault="00523210" w:rsidP="003006E1">
      <w:pPr>
        <w:pStyle w:val="ListParagraph"/>
        <w:numPr>
          <w:ilvl w:val="0"/>
          <w:numId w:val="6"/>
        </w:numPr>
      </w:pPr>
      <w:r>
        <w:t>Pg.</w:t>
      </w:r>
      <w:r w:rsidR="003006E1">
        <w:t xml:space="preserve"> 24: </w:t>
      </w:r>
      <w:r w:rsidR="003006E1" w:rsidRPr="003006E1">
        <w:t>Principal agents for each step in managing suspected cases/PUI</w:t>
      </w:r>
      <w:r>
        <w:t xml:space="preserve"> </w:t>
      </w:r>
      <w:r w:rsidR="00A1641E" w:rsidRPr="00A1641E">
        <w:rPr>
          <w:highlight w:val="yellow"/>
        </w:rPr>
        <w:t>(ADM)</w:t>
      </w:r>
      <w:r w:rsidR="00A1641E">
        <w:t xml:space="preserve"> </w:t>
      </w:r>
      <w:r w:rsidR="00A1641E" w:rsidRPr="00A1641E">
        <w:rPr>
          <w:highlight w:val="darkGreen"/>
        </w:rPr>
        <w:t>(HOS)</w:t>
      </w:r>
    </w:p>
    <w:p w14:paraId="2B537DD7" w14:textId="404A2EE6" w:rsidR="003006E1" w:rsidRDefault="00523210" w:rsidP="003006E1">
      <w:pPr>
        <w:pStyle w:val="ListParagraph"/>
        <w:numPr>
          <w:ilvl w:val="0"/>
          <w:numId w:val="6"/>
        </w:numPr>
      </w:pPr>
      <w:r>
        <w:t>Pg.</w:t>
      </w:r>
      <w:r w:rsidR="003006E1">
        <w:t xml:space="preserve"> 24: </w:t>
      </w:r>
      <w:r w:rsidRPr="00523210">
        <w:t>basic guidance regarding transportation, health education</w:t>
      </w:r>
      <w:r>
        <w:t xml:space="preserve"> </w:t>
      </w:r>
      <w:r w:rsidR="00A1641E" w:rsidRPr="00A1641E">
        <w:rPr>
          <w:highlight w:val="darkGreen"/>
        </w:rPr>
        <w:t>(HOS)</w:t>
      </w:r>
    </w:p>
    <w:p w14:paraId="2868BE91" w14:textId="5EADEAD1" w:rsidR="003006E1" w:rsidRDefault="00523210" w:rsidP="003006E1">
      <w:pPr>
        <w:pStyle w:val="ListParagraph"/>
        <w:numPr>
          <w:ilvl w:val="0"/>
          <w:numId w:val="6"/>
        </w:numPr>
      </w:pPr>
      <w:r>
        <w:t>Pg.</w:t>
      </w:r>
      <w:r w:rsidR="003006E1">
        <w:t xml:space="preserve"> 24: </w:t>
      </w:r>
      <w:r w:rsidR="003006E1" w:rsidRPr="003006E1">
        <w:t>However, if preemptive isolation is required among PUI due to pneumonia of unknown etiology or other reasons, health insurance will be applied to the hospital room fees for the isolation in addition to the testing costs</w:t>
      </w:r>
    </w:p>
    <w:p w14:paraId="766050D5" w14:textId="1DA4069F" w:rsidR="003006E1" w:rsidRPr="003006E1" w:rsidRDefault="00523210" w:rsidP="003006E1">
      <w:pPr>
        <w:pStyle w:val="ListParagraph"/>
        <w:numPr>
          <w:ilvl w:val="0"/>
          <w:numId w:val="6"/>
        </w:numPr>
      </w:pPr>
      <w:r>
        <w:t>Pg.</w:t>
      </w:r>
      <w:r w:rsidR="003006E1">
        <w:t xml:space="preserve"> 24-25: </w:t>
      </w:r>
      <w:r w:rsidR="003006E1" w:rsidRPr="003006E1">
        <w:t>Laboratory test priority</w:t>
      </w:r>
      <w:r>
        <w:t xml:space="preserve"> </w:t>
      </w:r>
      <w:r w:rsidR="00A1641E" w:rsidRPr="00A1641E">
        <w:rPr>
          <w:highlight w:val="yellow"/>
        </w:rPr>
        <w:t>(ADM)</w:t>
      </w:r>
    </w:p>
    <w:p w14:paraId="3CDEB515" w14:textId="0D347DB3" w:rsidR="003006E1" w:rsidRDefault="003006E1" w:rsidP="003006E1">
      <w:pPr>
        <w:pStyle w:val="Heading3"/>
      </w:pPr>
      <w:r>
        <w:t>Suspected Cases:</w:t>
      </w:r>
    </w:p>
    <w:p w14:paraId="31C6EED4" w14:textId="2E8F97F3" w:rsidR="003006E1" w:rsidRDefault="00523210" w:rsidP="003006E1">
      <w:pPr>
        <w:pStyle w:val="ListParagraph"/>
        <w:numPr>
          <w:ilvl w:val="0"/>
          <w:numId w:val="7"/>
        </w:numPr>
      </w:pPr>
      <w:r>
        <w:t>Pg.</w:t>
      </w:r>
      <w:r w:rsidR="003006E1">
        <w:t xml:space="preserve"> 25: </w:t>
      </w:r>
      <w:r w:rsidR="003006E1" w:rsidRPr="003006E1">
        <w:t>Recognition of symptoms of suspected case</w:t>
      </w:r>
      <w:r>
        <w:t xml:space="preserve"> </w:t>
      </w:r>
      <w:r w:rsidR="00A1641E" w:rsidRPr="00A1641E">
        <w:rPr>
          <w:highlight w:val="darkGreen"/>
        </w:rPr>
        <w:t>(HOS)</w:t>
      </w:r>
      <w:r>
        <w:t xml:space="preserve"> </w:t>
      </w:r>
    </w:p>
    <w:p w14:paraId="51E75B70" w14:textId="06E19000" w:rsidR="003006E1" w:rsidRDefault="00523210" w:rsidP="003006E1">
      <w:pPr>
        <w:pStyle w:val="ListParagraph"/>
        <w:numPr>
          <w:ilvl w:val="0"/>
          <w:numId w:val="7"/>
        </w:numPr>
      </w:pPr>
      <w:r>
        <w:t>Pg.</w:t>
      </w:r>
      <w:r w:rsidR="003006E1">
        <w:t xml:space="preserve"> 25-26: </w:t>
      </w:r>
      <w:r w:rsidR="003006E1" w:rsidRPr="003006E1">
        <w:t>Reporting the suspected case</w:t>
      </w:r>
      <w:r>
        <w:t xml:space="preserve"> </w:t>
      </w:r>
      <w:r w:rsidR="00A1641E" w:rsidRPr="00A1641E">
        <w:rPr>
          <w:highlight w:val="darkGreen"/>
        </w:rPr>
        <w:t>(HOS)</w:t>
      </w:r>
    </w:p>
    <w:p w14:paraId="2AA48A74" w14:textId="78FD76F4" w:rsidR="003006E1" w:rsidRDefault="00523210" w:rsidP="003006E1">
      <w:pPr>
        <w:pStyle w:val="ListParagraph"/>
        <w:numPr>
          <w:ilvl w:val="0"/>
          <w:numId w:val="7"/>
        </w:numPr>
      </w:pPr>
      <w:r>
        <w:t>Pg.</w:t>
      </w:r>
      <w:r w:rsidR="003006E1">
        <w:t xml:space="preserve"> 26: </w:t>
      </w:r>
      <w:r w:rsidR="003006E1" w:rsidRPr="003006E1">
        <w:t>Determine hospital isolation or home isolation depending on whether the patient belongs to high-risk groups and/or severity of symptoms (by Municipal COVID-19 epidemiologic investigator and Patient Management Task Force)</w:t>
      </w:r>
      <w:r>
        <w:t xml:space="preserve"> </w:t>
      </w:r>
      <w:r w:rsidR="00A1641E" w:rsidRPr="00A1641E">
        <w:rPr>
          <w:highlight w:val="darkGreen"/>
        </w:rPr>
        <w:t>(HOS)</w:t>
      </w:r>
    </w:p>
    <w:p w14:paraId="582EFAE8" w14:textId="1CF8A9BE" w:rsidR="003006E1" w:rsidRDefault="00523210" w:rsidP="003006E1">
      <w:pPr>
        <w:pStyle w:val="ListParagraph"/>
        <w:numPr>
          <w:ilvl w:val="0"/>
          <w:numId w:val="7"/>
        </w:numPr>
      </w:pPr>
      <w:r>
        <w:t>Pg.</w:t>
      </w:r>
      <w:r w:rsidR="003006E1">
        <w:t xml:space="preserve"> 26: </w:t>
      </w:r>
      <w:r w:rsidR="003006E1" w:rsidRPr="003006E1">
        <w:t>Home isolation notification</w:t>
      </w:r>
      <w:r>
        <w:t xml:space="preserve"> </w:t>
      </w:r>
      <w:r w:rsidR="00A1641E" w:rsidRPr="00A1641E">
        <w:rPr>
          <w:highlight w:val="darkGreen"/>
        </w:rPr>
        <w:t>(HOS)</w:t>
      </w:r>
    </w:p>
    <w:p w14:paraId="38C0F2CF" w14:textId="467E5E7A" w:rsidR="003006E1" w:rsidRDefault="00523210" w:rsidP="003006E1">
      <w:pPr>
        <w:pStyle w:val="ListParagraph"/>
        <w:numPr>
          <w:ilvl w:val="0"/>
          <w:numId w:val="7"/>
        </w:numPr>
      </w:pPr>
      <w:r>
        <w:t>Pg.</w:t>
      </w:r>
      <w:r w:rsidR="003006E1">
        <w:t xml:space="preserve"> 27: </w:t>
      </w:r>
      <w:r w:rsidR="003006E1" w:rsidRPr="00CD53DA">
        <w:rPr>
          <w:highlight w:val="yellow"/>
        </w:rPr>
        <w:t>Guide to hospital isola</w:t>
      </w:r>
      <w:r w:rsidR="003006E1" w:rsidRPr="003006E1">
        <w:t>tion</w:t>
      </w:r>
      <w:r w:rsidR="003006E1">
        <w:t xml:space="preserve"> </w:t>
      </w:r>
      <w:r w:rsidR="00A1641E" w:rsidRPr="00A1641E">
        <w:rPr>
          <w:highlight w:val="darkGreen"/>
        </w:rPr>
        <w:t>(HOS)</w:t>
      </w:r>
    </w:p>
    <w:p w14:paraId="3217209F" w14:textId="610B0A0A" w:rsidR="003006E1" w:rsidRDefault="00523210" w:rsidP="003006E1">
      <w:pPr>
        <w:pStyle w:val="ListParagraph"/>
        <w:numPr>
          <w:ilvl w:val="0"/>
          <w:numId w:val="7"/>
        </w:numPr>
      </w:pPr>
      <w:r>
        <w:t>Pg.</w:t>
      </w:r>
      <w:r w:rsidR="003006E1">
        <w:t xml:space="preserve"> 27-28: </w:t>
      </w:r>
      <w:r w:rsidR="003006E1" w:rsidRPr="003006E1">
        <w:t>Discharge and Isolation Release of Suspected Cases</w:t>
      </w:r>
      <w:r w:rsidR="003006E1">
        <w:t xml:space="preserve"> </w:t>
      </w:r>
      <w:r w:rsidR="00A1641E" w:rsidRPr="00A1641E">
        <w:rPr>
          <w:highlight w:val="darkGreen"/>
        </w:rPr>
        <w:t>(HOS)</w:t>
      </w:r>
    </w:p>
    <w:p w14:paraId="22B27244" w14:textId="1B6F9554" w:rsidR="003006E1" w:rsidRDefault="003006E1" w:rsidP="003006E1">
      <w:pPr>
        <w:pStyle w:val="Heading3"/>
      </w:pPr>
      <w:r w:rsidRPr="003006E1">
        <w:t>Patients Under Investigation (PUI)</w:t>
      </w:r>
    </w:p>
    <w:p w14:paraId="22C07675" w14:textId="04C29E68" w:rsidR="003006E1" w:rsidRDefault="00523210" w:rsidP="003006E1">
      <w:pPr>
        <w:pStyle w:val="ListParagraph"/>
        <w:numPr>
          <w:ilvl w:val="0"/>
          <w:numId w:val="8"/>
        </w:numPr>
      </w:pPr>
      <w:r>
        <w:t>Pg.</w:t>
      </w:r>
      <w:r w:rsidR="003006E1">
        <w:t xml:space="preserve"> 28: Screening at Port of entry </w:t>
      </w:r>
      <w:r w:rsidR="00A1641E" w:rsidRPr="00A1641E">
        <w:rPr>
          <w:highlight w:val="darkGreen"/>
        </w:rPr>
        <w:t>(HOS)</w:t>
      </w:r>
    </w:p>
    <w:p w14:paraId="4063EA0C" w14:textId="26DF3CCC" w:rsidR="003006E1" w:rsidRDefault="00523210" w:rsidP="003006E1">
      <w:pPr>
        <w:pStyle w:val="ListParagraph"/>
        <w:numPr>
          <w:ilvl w:val="0"/>
          <w:numId w:val="8"/>
        </w:numPr>
      </w:pPr>
      <w:r>
        <w:t>Pg.</w:t>
      </w:r>
      <w:r w:rsidR="003006E1">
        <w:t xml:space="preserve"> 29: </w:t>
      </w:r>
      <w:r w:rsidR="003006E1" w:rsidRPr="003006E1">
        <w:t>Reporting</w:t>
      </w:r>
      <w:r w:rsidR="003006E1">
        <w:t xml:space="preserve"> </w:t>
      </w:r>
      <w:r w:rsidR="00100F18">
        <w:t xml:space="preserve">PUI </w:t>
      </w:r>
      <w:r w:rsidR="00A1641E" w:rsidRPr="00A1641E">
        <w:rPr>
          <w:highlight w:val="darkGreen"/>
        </w:rPr>
        <w:t>(HOS)</w:t>
      </w:r>
    </w:p>
    <w:p w14:paraId="15A14641" w14:textId="5EFF3F7E" w:rsidR="003006E1" w:rsidRDefault="00523210" w:rsidP="003006E1">
      <w:pPr>
        <w:pStyle w:val="ListParagraph"/>
        <w:numPr>
          <w:ilvl w:val="0"/>
          <w:numId w:val="8"/>
        </w:numPr>
      </w:pPr>
      <w:r>
        <w:t>Pg.</w:t>
      </w:r>
      <w:r w:rsidR="003006E1">
        <w:t xml:space="preserve"> 30: </w:t>
      </w:r>
      <w:r w:rsidR="003006E1" w:rsidRPr="003006E1">
        <w:t>Measures to Be Taken by Healthcare Facilities</w:t>
      </w:r>
      <w:r w:rsidR="00100F18">
        <w:t xml:space="preserve"> for PUI</w:t>
      </w:r>
      <w:r w:rsidR="0068077A">
        <w:t xml:space="preserve"> </w:t>
      </w:r>
      <w:r w:rsidR="00A1641E" w:rsidRPr="00A1641E">
        <w:rPr>
          <w:highlight w:val="darkGreen"/>
        </w:rPr>
        <w:t>(HOS)</w:t>
      </w:r>
    </w:p>
    <w:p w14:paraId="57216382" w14:textId="3EAC930E" w:rsidR="00100F18" w:rsidRDefault="00100F18" w:rsidP="00100F18">
      <w:pPr>
        <w:pStyle w:val="Heading3"/>
      </w:pPr>
      <w:r w:rsidRPr="00100F18">
        <w:t xml:space="preserve">Management of </w:t>
      </w:r>
      <w:proofErr w:type="spellStart"/>
      <w:r w:rsidRPr="00100F18">
        <w:t>Screenees</w:t>
      </w:r>
      <w:proofErr w:type="spellEnd"/>
      <w:r w:rsidRPr="00100F18">
        <w:t xml:space="preserve"> at COVID-19 Screening Centers (Public Health Centers)</w:t>
      </w:r>
      <w:r>
        <w:t>:</w:t>
      </w:r>
    </w:p>
    <w:p w14:paraId="7D92580C" w14:textId="38E41ED7" w:rsidR="00100F18" w:rsidRDefault="00523210" w:rsidP="00100F18">
      <w:pPr>
        <w:pStyle w:val="ListParagraph"/>
        <w:numPr>
          <w:ilvl w:val="0"/>
          <w:numId w:val="9"/>
        </w:numPr>
      </w:pPr>
      <w:r>
        <w:t>Pg.</w:t>
      </w:r>
      <w:r w:rsidR="00100F18">
        <w:t xml:space="preserve"> 30: </w:t>
      </w:r>
      <w:r w:rsidR="00100F18" w:rsidRPr="00100F18">
        <w:t>Patient Admission</w:t>
      </w:r>
      <w:r w:rsidR="00A1641E">
        <w:t xml:space="preserve"> </w:t>
      </w:r>
      <w:r w:rsidR="00A1641E" w:rsidRPr="00A1641E">
        <w:rPr>
          <w:highlight w:val="darkGreen"/>
        </w:rPr>
        <w:t>(HOS)</w:t>
      </w:r>
    </w:p>
    <w:p w14:paraId="3B8E93A9" w14:textId="219B0221" w:rsidR="00100F18" w:rsidRDefault="00523210" w:rsidP="00100F18">
      <w:pPr>
        <w:pStyle w:val="ListParagraph"/>
        <w:numPr>
          <w:ilvl w:val="0"/>
          <w:numId w:val="9"/>
        </w:numPr>
      </w:pPr>
      <w:r>
        <w:t>Pg.</w:t>
      </w:r>
      <w:r w:rsidR="00100F18">
        <w:t xml:space="preserve"> 30-31: </w:t>
      </w:r>
      <w:r w:rsidR="00100F18" w:rsidRPr="00100F18">
        <w:t>Patient Evaluation</w:t>
      </w:r>
      <w:r w:rsidR="00A1641E">
        <w:t xml:space="preserve"> </w:t>
      </w:r>
      <w:r w:rsidR="00A1641E" w:rsidRPr="00A1641E">
        <w:rPr>
          <w:highlight w:val="darkGreen"/>
        </w:rPr>
        <w:t>(</w:t>
      </w:r>
      <w:r w:rsidR="00A1641E" w:rsidRPr="00A1641E">
        <w:rPr>
          <w:highlight w:val="darkGreen"/>
        </w:rPr>
        <w:t>HOS</w:t>
      </w:r>
      <w:r w:rsidR="00A1641E" w:rsidRPr="00A1641E">
        <w:rPr>
          <w:highlight w:val="darkGreen"/>
        </w:rPr>
        <w:t>)</w:t>
      </w:r>
    </w:p>
    <w:p w14:paraId="632F419A" w14:textId="4E6B81A5" w:rsidR="00100F18" w:rsidRDefault="00523210" w:rsidP="00100F18">
      <w:pPr>
        <w:pStyle w:val="ListParagraph"/>
        <w:numPr>
          <w:ilvl w:val="0"/>
          <w:numId w:val="9"/>
        </w:numPr>
      </w:pPr>
      <w:r>
        <w:t>Pg.</w:t>
      </w:r>
      <w:r w:rsidR="00100F18">
        <w:t xml:space="preserve"> 31: </w:t>
      </w:r>
      <w:r w:rsidR="00100F18" w:rsidRPr="00100F18">
        <w:t>Response Guidelines</w:t>
      </w:r>
      <w:r w:rsidR="00100F18">
        <w:t xml:space="preserve"> </w:t>
      </w:r>
      <w:r w:rsidR="00A1641E" w:rsidRPr="00A1641E">
        <w:rPr>
          <w:highlight w:val="darkGreen"/>
        </w:rPr>
        <w:t>(</w:t>
      </w:r>
      <w:r w:rsidR="00A1641E" w:rsidRPr="00A1641E">
        <w:rPr>
          <w:highlight w:val="darkGreen"/>
        </w:rPr>
        <w:t>HOS</w:t>
      </w:r>
      <w:r w:rsidR="00A1641E" w:rsidRPr="00A1641E">
        <w:rPr>
          <w:highlight w:val="darkGreen"/>
        </w:rPr>
        <w:t>)</w:t>
      </w:r>
    </w:p>
    <w:p w14:paraId="2170B559" w14:textId="788B79AC" w:rsidR="00100F18" w:rsidRDefault="00100F18" w:rsidP="00100F18">
      <w:pPr>
        <w:pStyle w:val="Heading2"/>
      </w:pPr>
      <w:r>
        <w:t xml:space="preserve">Section 5: </w:t>
      </w:r>
      <w:r w:rsidRPr="00100F18">
        <w:t>Response Guideline for Confirmed Cases</w:t>
      </w:r>
    </w:p>
    <w:p w14:paraId="19C7BF83" w14:textId="6120512C" w:rsidR="00100F18" w:rsidRDefault="00600759" w:rsidP="00600759">
      <w:pPr>
        <w:pStyle w:val="Heading3"/>
      </w:pPr>
      <w:r w:rsidRPr="00600759">
        <w:t>Reporting Confirmed Cases and Deaths</w:t>
      </w:r>
    </w:p>
    <w:p w14:paraId="2FD6DD2D" w14:textId="4953EF7D" w:rsidR="00600759" w:rsidRDefault="00523210" w:rsidP="00600759">
      <w:pPr>
        <w:pStyle w:val="ListParagraph"/>
        <w:numPr>
          <w:ilvl w:val="0"/>
          <w:numId w:val="11"/>
        </w:numPr>
      </w:pPr>
      <w:r>
        <w:t>Pg.</w:t>
      </w:r>
      <w:r w:rsidR="00600759">
        <w:t xml:space="preserve"> 32: Reporting </w:t>
      </w:r>
      <w:r w:rsidR="00A1641E" w:rsidRPr="00A1641E">
        <w:rPr>
          <w:highlight w:val="darkGreen"/>
        </w:rPr>
        <w:t>(HOS)</w:t>
      </w:r>
    </w:p>
    <w:p w14:paraId="4B639A3B" w14:textId="558ABF2D" w:rsidR="00600759" w:rsidRDefault="00600759" w:rsidP="00600759">
      <w:pPr>
        <w:pStyle w:val="Heading3"/>
      </w:pPr>
      <w:r w:rsidRPr="00600759">
        <w:t>Isolation of Confirmed Cases</w:t>
      </w:r>
    </w:p>
    <w:p w14:paraId="6E99E9D2" w14:textId="4E3DC8E3" w:rsidR="00600759" w:rsidRDefault="00523210" w:rsidP="00600759">
      <w:pPr>
        <w:pStyle w:val="ListParagraph"/>
        <w:numPr>
          <w:ilvl w:val="0"/>
          <w:numId w:val="11"/>
        </w:numPr>
      </w:pPr>
      <w:r>
        <w:t>Pg.</w:t>
      </w:r>
      <w:r w:rsidR="00600759">
        <w:t xml:space="preserve"> 32-33: </w:t>
      </w:r>
      <w:r w:rsidR="00600759" w:rsidRPr="00600759">
        <w:t>Isolation of Confirmed Cases</w:t>
      </w:r>
      <w:r w:rsidR="00A1641E">
        <w:t xml:space="preserve"> </w:t>
      </w:r>
      <w:r w:rsidR="00A1641E" w:rsidRPr="00A1641E">
        <w:rPr>
          <w:highlight w:val="darkGreen"/>
        </w:rPr>
        <w:t>(HOS)</w:t>
      </w:r>
    </w:p>
    <w:p w14:paraId="6D2F0AE8" w14:textId="65A6C71F" w:rsidR="00600759" w:rsidRDefault="00523210" w:rsidP="00600759">
      <w:pPr>
        <w:pStyle w:val="ListParagraph"/>
        <w:numPr>
          <w:ilvl w:val="0"/>
          <w:numId w:val="11"/>
        </w:numPr>
      </w:pPr>
      <w:r>
        <w:t>Pg.</w:t>
      </w:r>
      <w:r w:rsidR="00600759">
        <w:t xml:space="preserve"> 33-35: </w:t>
      </w:r>
      <w:r w:rsidR="00600759" w:rsidRPr="00600759">
        <w:t>Cases Not Requiring Hospital Isolation</w:t>
      </w:r>
      <w:r w:rsidR="00600759">
        <w:t xml:space="preserve"> </w:t>
      </w:r>
      <w:r w:rsidR="00A1641E" w:rsidRPr="00A1641E">
        <w:rPr>
          <w:highlight w:val="darkGreen"/>
        </w:rPr>
        <w:t>(HOS)</w:t>
      </w:r>
    </w:p>
    <w:p w14:paraId="194EFFA7" w14:textId="2E46D845" w:rsidR="00600759" w:rsidRDefault="00523210" w:rsidP="00600759">
      <w:pPr>
        <w:pStyle w:val="ListParagraph"/>
        <w:numPr>
          <w:ilvl w:val="0"/>
          <w:numId w:val="11"/>
        </w:numPr>
      </w:pPr>
      <w:r>
        <w:t>Pg.</w:t>
      </w:r>
      <w:r w:rsidR="00600759">
        <w:t xml:space="preserve"> 35: </w:t>
      </w:r>
      <w:r w:rsidR="00600759" w:rsidRPr="00600759">
        <w:t>If hospital care/treatment is needed or expected for the home-isolated person</w:t>
      </w:r>
      <w:r w:rsidR="00A1641E">
        <w:t xml:space="preserve"> </w:t>
      </w:r>
      <w:r w:rsidR="00A1641E" w:rsidRPr="00A1641E">
        <w:rPr>
          <w:highlight w:val="darkGreen"/>
        </w:rPr>
        <w:t>(HOS)</w:t>
      </w:r>
    </w:p>
    <w:p w14:paraId="05C6A282" w14:textId="64B9323B" w:rsidR="00600759" w:rsidRDefault="00600759" w:rsidP="00600759">
      <w:pPr>
        <w:pStyle w:val="Heading3"/>
      </w:pPr>
      <w:r w:rsidRPr="00600759">
        <w:t>Epidemiological Investigation</w:t>
      </w:r>
    </w:p>
    <w:p w14:paraId="2FC8DD4C" w14:textId="64AF832C" w:rsidR="00600759" w:rsidRDefault="00523210" w:rsidP="00600759">
      <w:pPr>
        <w:pStyle w:val="ListParagraph"/>
        <w:numPr>
          <w:ilvl w:val="0"/>
          <w:numId w:val="12"/>
        </w:numPr>
      </w:pPr>
      <w:r>
        <w:t>Pg.</w:t>
      </w:r>
      <w:r w:rsidR="00600759">
        <w:t xml:space="preserve"> 35: case investigation </w:t>
      </w:r>
      <w:r w:rsidR="00A1641E" w:rsidRPr="00A1641E">
        <w:rPr>
          <w:highlight w:val="darkGreen"/>
        </w:rPr>
        <w:t>(HOS)</w:t>
      </w:r>
      <w:r w:rsidR="0068077A">
        <w:t xml:space="preserve"> </w:t>
      </w:r>
      <w:r w:rsidR="00A1641E" w:rsidRPr="00A1641E">
        <w:rPr>
          <w:highlight w:val="magenta"/>
        </w:rPr>
        <w:t>(EPI)</w:t>
      </w:r>
    </w:p>
    <w:p w14:paraId="63A2B410" w14:textId="7EE8683C" w:rsidR="00600759" w:rsidRDefault="00523210" w:rsidP="00600759">
      <w:pPr>
        <w:pStyle w:val="ListParagraph"/>
        <w:numPr>
          <w:ilvl w:val="0"/>
          <w:numId w:val="12"/>
        </w:numPr>
      </w:pPr>
      <w:r>
        <w:t>Pg.</w:t>
      </w:r>
      <w:r w:rsidR="00600759">
        <w:t xml:space="preserve"> 35-39: </w:t>
      </w:r>
      <w:r w:rsidR="00600759" w:rsidRPr="00600759">
        <w:t>Contact Tracing</w:t>
      </w:r>
      <w:r w:rsidR="00600759">
        <w:t xml:space="preserve"> </w:t>
      </w:r>
      <w:r w:rsidR="00A1641E" w:rsidRPr="00A1641E">
        <w:rPr>
          <w:highlight w:val="darkGreen"/>
        </w:rPr>
        <w:t>(HOS)</w:t>
      </w:r>
      <w:r w:rsidR="0068077A">
        <w:t xml:space="preserve"> </w:t>
      </w:r>
      <w:r w:rsidR="00A1641E" w:rsidRPr="00A1641E">
        <w:rPr>
          <w:highlight w:val="magenta"/>
        </w:rPr>
        <w:t>(EPI)</w:t>
      </w:r>
    </w:p>
    <w:p w14:paraId="2F374C92" w14:textId="08A3998E" w:rsidR="00600759" w:rsidRDefault="00523210" w:rsidP="00600759">
      <w:pPr>
        <w:pStyle w:val="ListParagraph"/>
        <w:numPr>
          <w:ilvl w:val="0"/>
          <w:numId w:val="12"/>
        </w:numPr>
      </w:pPr>
      <w:r>
        <w:t>Pg.</w:t>
      </w:r>
      <w:r w:rsidR="00600759">
        <w:t xml:space="preserve"> 40-41: </w:t>
      </w:r>
      <w:r w:rsidR="00600759" w:rsidRPr="00600759">
        <w:t>Work standards for health workers who have had contact with COVID-19</w:t>
      </w:r>
      <w:r w:rsidR="00600759">
        <w:t xml:space="preserve"> </w:t>
      </w:r>
      <w:r w:rsidR="00A1641E" w:rsidRPr="00A1641E">
        <w:rPr>
          <w:highlight w:val="darkGreen"/>
        </w:rPr>
        <w:t>(HOS)</w:t>
      </w:r>
      <w:r w:rsidR="0068077A">
        <w:t xml:space="preserve"> </w:t>
      </w:r>
      <w:r w:rsidR="00A1641E" w:rsidRPr="00A1641E">
        <w:rPr>
          <w:highlight w:val="yellow"/>
        </w:rPr>
        <w:t>(ADM)</w:t>
      </w:r>
    </w:p>
    <w:p w14:paraId="695B24B2" w14:textId="45367EF0" w:rsidR="00600759" w:rsidRDefault="00523210" w:rsidP="00600759">
      <w:pPr>
        <w:pStyle w:val="ListParagraph"/>
        <w:numPr>
          <w:ilvl w:val="0"/>
          <w:numId w:val="12"/>
        </w:numPr>
      </w:pPr>
      <w:r>
        <w:lastRenderedPageBreak/>
        <w:t>Pg.</w:t>
      </w:r>
      <w:r w:rsidR="00600759">
        <w:t xml:space="preserve"> 41-43: </w:t>
      </w:r>
      <w:r w:rsidR="00600759" w:rsidRPr="00600759">
        <w:t>Coronavirus Disease 2019 (COVID-19) practical guidance for healthcare facilities</w:t>
      </w:r>
      <w:r w:rsidR="0068077A">
        <w:t xml:space="preserve"> </w:t>
      </w:r>
      <w:r w:rsidR="00A1641E" w:rsidRPr="00A1641E">
        <w:rPr>
          <w:highlight w:val="yellow"/>
        </w:rPr>
        <w:t>(ADM)</w:t>
      </w:r>
      <w:r w:rsidR="0068077A">
        <w:t xml:space="preserve"> </w:t>
      </w:r>
      <w:r w:rsidR="00A1641E" w:rsidRPr="00A1641E">
        <w:rPr>
          <w:highlight w:val="darkGreen"/>
        </w:rPr>
        <w:t>(HOS)</w:t>
      </w:r>
    </w:p>
    <w:p w14:paraId="300EC36A" w14:textId="540567E4" w:rsidR="00600759" w:rsidRDefault="00523210" w:rsidP="00600759">
      <w:pPr>
        <w:pStyle w:val="ListParagraph"/>
        <w:numPr>
          <w:ilvl w:val="0"/>
          <w:numId w:val="12"/>
        </w:numPr>
      </w:pPr>
      <w:r>
        <w:t>Pg.</w:t>
      </w:r>
      <w:r w:rsidR="00600759">
        <w:t xml:space="preserve"> 43: </w:t>
      </w:r>
      <w:r w:rsidR="00600759" w:rsidRPr="00600759">
        <w:t>Response Task Force</w:t>
      </w:r>
      <w:r w:rsidR="00600759">
        <w:t xml:space="preserve"> daily report</w:t>
      </w:r>
      <w:r w:rsidR="0068077A">
        <w:t xml:space="preserve"> </w:t>
      </w:r>
      <w:r w:rsidR="00A1641E" w:rsidRPr="00A1641E">
        <w:rPr>
          <w:highlight w:val="yellow"/>
        </w:rPr>
        <w:t>(ADM)</w:t>
      </w:r>
    </w:p>
    <w:p w14:paraId="659635F3" w14:textId="73017624" w:rsidR="00600759" w:rsidRDefault="00523210" w:rsidP="00600759">
      <w:pPr>
        <w:pStyle w:val="ListParagraph"/>
        <w:numPr>
          <w:ilvl w:val="0"/>
          <w:numId w:val="12"/>
        </w:numPr>
      </w:pPr>
      <w:r>
        <w:t>Pg.</w:t>
      </w:r>
      <w:r w:rsidR="00600759">
        <w:t xml:space="preserve"> 43-44: Facility management after exposure</w:t>
      </w:r>
      <w:r w:rsidR="0068077A">
        <w:t xml:space="preserve"> </w:t>
      </w:r>
      <w:r w:rsidR="00A1641E" w:rsidRPr="00A1641E">
        <w:rPr>
          <w:highlight w:val="yellow"/>
        </w:rPr>
        <w:t>(ADM)</w:t>
      </w:r>
    </w:p>
    <w:p w14:paraId="2A3B80B7" w14:textId="0B596B52" w:rsidR="00600759" w:rsidRDefault="00523210" w:rsidP="00600759">
      <w:pPr>
        <w:pStyle w:val="ListParagraph"/>
        <w:numPr>
          <w:ilvl w:val="0"/>
          <w:numId w:val="12"/>
        </w:numPr>
      </w:pPr>
      <w:r>
        <w:t>Pg.</w:t>
      </w:r>
      <w:r w:rsidR="00600759">
        <w:t xml:space="preserve"> 44: </w:t>
      </w:r>
      <w:r w:rsidR="00600759" w:rsidRPr="00600759">
        <w:t>Transfer of patients due to closure of healthcare facility</w:t>
      </w:r>
      <w:r w:rsidR="00600759">
        <w:t xml:space="preserve"> </w:t>
      </w:r>
      <w:r w:rsidR="00A1641E" w:rsidRPr="00A1641E">
        <w:rPr>
          <w:highlight w:val="yellow"/>
        </w:rPr>
        <w:t>(ADM)</w:t>
      </w:r>
    </w:p>
    <w:p w14:paraId="2F888FC5" w14:textId="6967DC14" w:rsidR="00600759" w:rsidRDefault="00523210" w:rsidP="00600759">
      <w:pPr>
        <w:pStyle w:val="ListParagraph"/>
        <w:numPr>
          <w:ilvl w:val="0"/>
          <w:numId w:val="12"/>
        </w:numPr>
      </w:pPr>
      <w:r>
        <w:t>Pg.</w:t>
      </w:r>
      <w:r w:rsidR="00600759">
        <w:t xml:space="preserve"> 44-45: </w:t>
      </w:r>
      <w:r w:rsidR="00600759" w:rsidRPr="00600759">
        <w:t>Data management</w:t>
      </w:r>
      <w:r w:rsidR="00600759">
        <w:t xml:space="preserve"> </w:t>
      </w:r>
      <w:r w:rsidR="00A1641E" w:rsidRPr="00A1641E">
        <w:rPr>
          <w:highlight w:val="yellow"/>
        </w:rPr>
        <w:t>(ADM)</w:t>
      </w:r>
    </w:p>
    <w:p w14:paraId="7C6E19E6" w14:textId="26161A65" w:rsidR="00600759" w:rsidRDefault="00600759" w:rsidP="00600759">
      <w:pPr>
        <w:pStyle w:val="Heading3"/>
      </w:pPr>
      <w:r w:rsidRPr="00600759">
        <w:t xml:space="preserve">Release </w:t>
      </w:r>
      <w:r w:rsidR="0068077A" w:rsidRPr="00600759">
        <w:t>from</w:t>
      </w:r>
      <w:r w:rsidRPr="00600759">
        <w:t xml:space="preserve"> Isolation</w:t>
      </w:r>
    </w:p>
    <w:p w14:paraId="014E3F5F" w14:textId="4D7AFFC0" w:rsidR="00600759" w:rsidRDefault="00523210" w:rsidP="00600759">
      <w:pPr>
        <w:pStyle w:val="ListParagraph"/>
        <w:numPr>
          <w:ilvl w:val="0"/>
          <w:numId w:val="13"/>
        </w:numPr>
      </w:pPr>
      <w:r>
        <w:t>Pg.</w:t>
      </w:r>
      <w:r w:rsidR="00600759">
        <w:t xml:space="preserve"> 45: </w:t>
      </w:r>
      <w:r w:rsidR="00600759" w:rsidRPr="00600759">
        <w:t xml:space="preserve">Criteria for Releasing Confirmed Cases </w:t>
      </w:r>
      <w:proofErr w:type="gramStart"/>
      <w:r w:rsidR="00600759" w:rsidRPr="00600759">
        <w:t>From</w:t>
      </w:r>
      <w:proofErr w:type="gramEnd"/>
      <w:r w:rsidR="00600759" w:rsidRPr="00600759">
        <w:t xml:space="preserve"> Isolation</w:t>
      </w:r>
      <w:r w:rsidR="00600759">
        <w:t xml:space="preserve"> </w:t>
      </w:r>
      <w:r w:rsidR="00A1641E" w:rsidRPr="00A1641E">
        <w:rPr>
          <w:highlight w:val="green"/>
        </w:rPr>
        <w:t>(*)</w:t>
      </w:r>
      <w:r w:rsidR="0068077A">
        <w:t xml:space="preserve"> </w:t>
      </w:r>
      <w:r w:rsidR="00A1641E" w:rsidRPr="00A1641E">
        <w:rPr>
          <w:highlight w:val="darkGreen"/>
        </w:rPr>
        <w:t>(HOS)</w:t>
      </w:r>
    </w:p>
    <w:p w14:paraId="7CEB5F84" w14:textId="341F412D" w:rsidR="00600759" w:rsidRDefault="00523210" w:rsidP="00600759">
      <w:pPr>
        <w:pStyle w:val="ListParagraph"/>
        <w:numPr>
          <w:ilvl w:val="0"/>
          <w:numId w:val="13"/>
        </w:numPr>
      </w:pPr>
      <w:r>
        <w:t>Pg.</w:t>
      </w:r>
      <w:r w:rsidR="007E1160">
        <w:t xml:space="preserve"> 45-46: </w:t>
      </w:r>
      <w:r w:rsidR="007E1160" w:rsidRPr="007E1160">
        <w:t>Discharge and management of the hospitalized and isolated patient</w:t>
      </w:r>
      <w:r w:rsidR="0068077A" w:rsidRPr="0068077A">
        <w:t xml:space="preserve"> </w:t>
      </w:r>
      <w:r w:rsidR="00A1641E" w:rsidRPr="00A1641E">
        <w:rPr>
          <w:highlight w:val="darkGreen"/>
        </w:rPr>
        <w:t>(HOS)</w:t>
      </w:r>
    </w:p>
    <w:p w14:paraId="54861194" w14:textId="16425DCC" w:rsidR="007E1160" w:rsidRDefault="00523210" w:rsidP="00600759">
      <w:pPr>
        <w:pStyle w:val="ListParagraph"/>
        <w:numPr>
          <w:ilvl w:val="0"/>
          <w:numId w:val="13"/>
        </w:numPr>
      </w:pPr>
      <w:r>
        <w:t>Pg.</w:t>
      </w:r>
      <w:r w:rsidR="007E1160">
        <w:t xml:space="preserve"> 46-47: </w:t>
      </w:r>
      <w:r w:rsidR="007E1160" w:rsidRPr="007E1160">
        <w:t>Release from home isolation</w:t>
      </w:r>
      <w:r w:rsidR="0068077A" w:rsidRPr="0068077A">
        <w:t xml:space="preserve"> </w:t>
      </w:r>
      <w:r w:rsidR="00A1641E" w:rsidRPr="00A1641E">
        <w:rPr>
          <w:highlight w:val="darkGreen"/>
        </w:rPr>
        <w:t>(HOS)</w:t>
      </w:r>
    </w:p>
    <w:p w14:paraId="6FCE1D43" w14:textId="2E01F56B" w:rsidR="007E1160" w:rsidRDefault="00523210" w:rsidP="00600759">
      <w:pPr>
        <w:pStyle w:val="ListParagraph"/>
        <w:numPr>
          <w:ilvl w:val="0"/>
          <w:numId w:val="13"/>
        </w:numPr>
      </w:pPr>
      <w:r>
        <w:t>Pg.</w:t>
      </w:r>
      <w:r w:rsidR="007E1160">
        <w:t xml:space="preserve"> 47: </w:t>
      </w:r>
      <w:r w:rsidR="007E1160" w:rsidRPr="007E1160">
        <w:t>Close Contact Quarantine Release Criteria</w:t>
      </w:r>
      <w:r w:rsidR="007E1160">
        <w:t xml:space="preserve"> </w:t>
      </w:r>
      <w:r w:rsidR="00A1641E" w:rsidRPr="00A1641E">
        <w:rPr>
          <w:highlight w:val="darkGreen"/>
        </w:rPr>
        <w:t>(HOS)</w:t>
      </w:r>
    </w:p>
    <w:p w14:paraId="6DFF16DB" w14:textId="3796ECA9" w:rsidR="007E1160" w:rsidRDefault="007E1160" w:rsidP="007E1160">
      <w:pPr>
        <w:pStyle w:val="Heading3"/>
      </w:pPr>
      <w:r w:rsidRPr="007E1160">
        <w:t>Epidemic Control Measures</w:t>
      </w:r>
    </w:p>
    <w:p w14:paraId="3401D681" w14:textId="08474099" w:rsidR="007E1160" w:rsidRDefault="00523210" w:rsidP="007E1160">
      <w:pPr>
        <w:pStyle w:val="ListParagraph"/>
        <w:numPr>
          <w:ilvl w:val="0"/>
          <w:numId w:val="14"/>
        </w:numPr>
      </w:pPr>
      <w:r>
        <w:t>Pg.</w:t>
      </w:r>
      <w:r w:rsidR="007E1160">
        <w:t xml:space="preserve"> 47-48: </w:t>
      </w:r>
      <w:r w:rsidR="007E1160" w:rsidRPr="007E1160">
        <w:t>Measures</w:t>
      </w:r>
      <w:r w:rsidR="007E1160">
        <w:t xml:space="preserve"> </w:t>
      </w:r>
      <w:r w:rsidR="00A1641E" w:rsidRPr="00A1641E">
        <w:rPr>
          <w:highlight w:val="yellow"/>
        </w:rPr>
        <w:t>(ADM)</w:t>
      </w:r>
    </w:p>
    <w:p w14:paraId="6EFB8790" w14:textId="1F53C0F0" w:rsidR="007E1160" w:rsidRDefault="00523210" w:rsidP="007E1160">
      <w:pPr>
        <w:pStyle w:val="ListParagraph"/>
        <w:numPr>
          <w:ilvl w:val="0"/>
          <w:numId w:val="14"/>
        </w:numPr>
      </w:pPr>
      <w:r>
        <w:t>Pg.</w:t>
      </w:r>
      <w:r w:rsidR="007E1160">
        <w:t xml:space="preserve"> 48: </w:t>
      </w:r>
      <w:r w:rsidR="007E1160" w:rsidRPr="007E1160">
        <w:t>Distribution of Forms Related to Epidemic Control Measures According to Relevant Regulations</w:t>
      </w:r>
      <w:r w:rsidR="0068077A">
        <w:t xml:space="preserve"> </w:t>
      </w:r>
    </w:p>
    <w:p w14:paraId="3B89F707" w14:textId="71639B01" w:rsidR="007E1160" w:rsidRDefault="007E1160" w:rsidP="00562A6D">
      <w:pPr>
        <w:pStyle w:val="Heading2"/>
      </w:pPr>
      <w:r>
        <w:t xml:space="preserve">Section 6: </w:t>
      </w:r>
      <w:r w:rsidRPr="007E1160">
        <w:t>Bed Allocation and Transfers</w:t>
      </w:r>
    </w:p>
    <w:p w14:paraId="66CCF097" w14:textId="11BDC74E" w:rsidR="007E1160" w:rsidRDefault="00523210" w:rsidP="007E1160">
      <w:pPr>
        <w:pStyle w:val="ListParagraph"/>
        <w:numPr>
          <w:ilvl w:val="0"/>
          <w:numId w:val="15"/>
        </w:numPr>
      </w:pPr>
      <w:r>
        <w:t>Pg.</w:t>
      </w:r>
      <w:r w:rsidR="007E1160">
        <w:t xml:space="preserve"> 49: overview </w:t>
      </w:r>
      <w:r w:rsidR="00A1641E" w:rsidRPr="00A1641E">
        <w:rPr>
          <w:highlight w:val="green"/>
        </w:rPr>
        <w:t>(*)</w:t>
      </w:r>
    </w:p>
    <w:p w14:paraId="09E04FD4" w14:textId="5CBE5E5C" w:rsidR="007E1160" w:rsidRDefault="00523210" w:rsidP="007E1160">
      <w:pPr>
        <w:pStyle w:val="ListParagraph"/>
        <w:numPr>
          <w:ilvl w:val="0"/>
          <w:numId w:val="15"/>
        </w:numPr>
      </w:pPr>
      <w:r>
        <w:t>Pg.</w:t>
      </w:r>
      <w:r w:rsidR="007E1160">
        <w:t xml:space="preserve"> 49: If a soldier is infected</w:t>
      </w:r>
    </w:p>
    <w:p w14:paraId="7AD019D1" w14:textId="66C2D11A" w:rsidR="007E1160" w:rsidRDefault="00523210" w:rsidP="007E1160">
      <w:pPr>
        <w:pStyle w:val="ListParagraph"/>
        <w:numPr>
          <w:ilvl w:val="0"/>
          <w:numId w:val="16"/>
        </w:numPr>
      </w:pPr>
      <w:r>
        <w:t>Pg.</w:t>
      </w:r>
      <w:r w:rsidR="00562A6D">
        <w:t xml:space="preserve"> 39: hospital guidelines for </w:t>
      </w:r>
      <w:r w:rsidR="00562A6D" w:rsidRPr="00562A6D">
        <w:t>Severely ill patients</w:t>
      </w:r>
      <w:r w:rsidR="00562A6D">
        <w:t xml:space="preserve">, </w:t>
      </w:r>
      <w:r w:rsidR="00562A6D" w:rsidRPr="00562A6D">
        <w:t>General ward</w:t>
      </w:r>
      <w:r w:rsidR="00562A6D">
        <w:t xml:space="preserve">, </w:t>
      </w:r>
      <w:r w:rsidR="00562A6D" w:rsidRPr="00562A6D">
        <w:t>Patients awaiting hospitalization</w:t>
      </w:r>
      <w:r w:rsidR="00562A6D">
        <w:t xml:space="preserve"> </w:t>
      </w:r>
      <w:r w:rsidR="00A1641E" w:rsidRPr="00A1641E">
        <w:rPr>
          <w:highlight w:val="darkGreen"/>
        </w:rPr>
        <w:t>(HOS)</w:t>
      </w:r>
    </w:p>
    <w:p w14:paraId="51FC4F22" w14:textId="66953935" w:rsidR="00562A6D" w:rsidRDefault="00523210" w:rsidP="007E1160">
      <w:pPr>
        <w:pStyle w:val="ListParagraph"/>
        <w:numPr>
          <w:ilvl w:val="0"/>
          <w:numId w:val="16"/>
        </w:numPr>
      </w:pPr>
      <w:r>
        <w:t>Pg.</w:t>
      </w:r>
      <w:r w:rsidR="00562A6D">
        <w:t xml:space="preserve"> 50: </w:t>
      </w:r>
      <w:r w:rsidR="00562A6D" w:rsidRPr="00562A6D">
        <w:t>Patient Transportation</w:t>
      </w:r>
      <w:r w:rsidR="0068077A" w:rsidRPr="0068077A">
        <w:t xml:space="preserve"> </w:t>
      </w:r>
      <w:r w:rsidR="00A1641E" w:rsidRPr="00A1641E">
        <w:rPr>
          <w:highlight w:val="darkBlue"/>
        </w:rPr>
        <w:t>(DOC)</w:t>
      </w:r>
    </w:p>
    <w:p w14:paraId="110E5FF6" w14:textId="0B6AB3FB" w:rsidR="00562A6D" w:rsidRDefault="00523210" w:rsidP="007E1160">
      <w:pPr>
        <w:pStyle w:val="ListParagraph"/>
        <w:numPr>
          <w:ilvl w:val="0"/>
          <w:numId w:val="16"/>
        </w:numPr>
      </w:pPr>
      <w:r>
        <w:t>Pg.</w:t>
      </w:r>
      <w:r w:rsidR="00562A6D">
        <w:t xml:space="preserve"> 50-51: </w:t>
      </w:r>
      <w:r w:rsidR="00562A6D" w:rsidRPr="00562A6D">
        <w:t>Patient Transfer</w:t>
      </w:r>
      <w:r w:rsidR="0068077A">
        <w:t xml:space="preserve"> </w:t>
      </w:r>
      <w:r w:rsidR="00A1641E" w:rsidRPr="00A1641E">
        <w:rPr>
          <w:highlight w:val="darkBlue"/>
        </w:rPr>
        <w:t>(DOC)</w:t>
      </w:r>
    </w:p>
    <w:p w14:paraId="4CBA6141" w14:textId="4F548C36" w:rsidR="00562A6D" w:rsidRDefault="00562A6D" w:rsidP="00562A6D">
      <w:pPr>
        <w:pStyle w:val="Heading2"/>
      </w:pPr>
      <w:r>
        <w:t xml:space="preserve">Section </w:t>
      </w:r>
      <w:r w:rsidR="00383D25">
        <w:t>7</w:t>
      </w:r>
      <w:r>
        <w:t xml:space="preserve">: </w:t>
      </w:r>
      <w:r w:rsidRPr="00562A6D">
        <w:t>Management of Deceased Persons</w:t>
      </w:r>
    </w:p>
    <w:p w14:paraId="42C034B2" w14:textId="235C8A99" w:rsidR="00562A6D" w:rsidRDefault="00523210" w:rsidP="00562A6D">
      <w:pPr>
        <w:pStyle w:val="ListParagraph"/>
        <w:numPr>
          <w:ilvl w:val="0"/>
          <w:numId w:val="17"/>
        </w:numPr>
      </w:pPr>
      <w:r>
        <w:t>Pg.</w:t>
      </w:r>
      <w:r w:rsidR="00562A6D">
        <w:t xml:space="preserve"> 52: </w:t>
      </w:r>
      <w:r w:rsidR="0068077A">
        <w:t>P</w:t>
      </w:r>
      <w:r w:rsidR="00562A6D">
        <w:t>urpose</w:t>
      </w:r>
    </w:p>
    <w:p w14:paraId="63C99839" w14:textId="153205E3" w:rsidR="00562A6D" w:rsidRDefault="00523210" w:rsidP="00562A6D">
      <w:pPr>
        <w:pStyle w:val="ListParagraph"/>
        <w:numPr>
          <w:ilvl w:val="0"/>
          <w:numId w:val="17"/>
        </w:numPr>
      </w:pPr>
      <w:r>
        <w:t>Pg.</w:t>
      </w:r>
      <w:r w:rsidR="00562A6D">
        <w:t xml:space="preserve"> 52: </w:t>
      </w:r>
      <w:r w:rsidR="00562A6D" w:rsidRPr="00562A6D">
        <w:t>Principle</w:t>
      </w:r>
      <w:r w:rsidR="00562A6D">
        <w:t>s</w:t>
      </w:r>
    </w:p>
    <w:p w14:paraId="01DDC311" w14:textId="55F3568E" w:rsidR="00562A6D" w:rsidRDefault="00523210" w:rsidP="00562A6D">
      <w:pPr>
        <w:pStyle w:val="ListParagraph"/>
        <w:numPr>
          <w:ilvl w:val="0"/>
          <w:numId w:val="17"/>
        </w:numPr>
      </w:pPr>
      <w:r>
        <w:t>Pg.</w:t>
      </w:r>
      <w:r w:rsidR="00562A6D">
        <w:t xml:space="preserve"> 52-53: </w:t>
      </w:r>
      <w:r w:rsidR="00562A6D" w:rsidRPr="00562A6D">
        <w:t>Scope and Responsibilities</w:t>
      </w:r>
      <w:r w:rsidR="0068077A">
        <w:t xml:space="preserve"> </w:t>
      </w:r>
      <w:r w:rsidR="00A1641E" w:rsidRPr="00A1641E">
        <w:rPr>
          <w:highlight w:val="darkGreen"/>
        </w:rPr>
        <w:t>(HOS)</w:t>
      </w:r>
      <w:r w:rsidR="0068077A">
        <w:t xml:space="preserve"> </w:t>
      </w:r>
      <w:r w:rsidR="00A1641E" w:rsidRPr="00A1641E">
        <w:rPr>
          <w:highlight w:val="yellow"/>
        </w:rPr>
        <w:t>(ADM)</w:t>
      </w:r>
    </w:p>
    <w:p w14:paraId="66C7947F" w14:textId="24E4E9D6" w:rsidR="00562A6D" w:rsidRDefault="00523210" w:rsidP="00562A6D">
      <w:pPr>
        <w:pStyle w:val="ListParagraph"/>
        <w:numPr>
          <w:ilvl w:val="0"/>
          <w:numId w:val="17"/>
        </w:numPr>
      </w:pPr>
      <w:r>
        <w:t>Pg.</w:t>
      </w:r>
      <w:r w:rsidR="00562A6D">
        <w:t xml:space="preserve"> 53: </w:t>
      </w:r>
      <w:r w:rsidR="00562A6D" w:rsidRPr="00562A6D">
        <w:t>Imminent Death</w:t>
      </w:r>
      <w:r w:rsidR="00562A6D">
        <w:t xml:space="preserve"> guidelines </w:t>
      </w:r>
      <w:r w:rsidR="00A1641E" w:rsidRPr="00A1641E">
        <w:rPr>
          <w:highlight w:val="darkGreen"/>
        </w:rPr>
        <w:t>(HOS)</w:t>
      </w:r>
    </w:p>
    <w:p w14:paraId="2E9749EB" w14:textId="1A3D1FB7" w:rsidR="00562A6D" w:rsidRDefault="00523210" w:rsidP="00562A6D">
      <w:pPr>
        <w:pStyle w:val="ListParagraph"/>
        <w:numPr>
          <w:ilvl w:val="0"/>
          <w:numId w:val="17"/>
        </w:numPr>
      </w:pPr>
      <w:r>
        <w:t>Pg.</w:t>
      </w:r>
      <w:r w:rsidR="00562A6D">
        <w:t xml:space="preserve"> 53-54: </w:t>
      </w:r>
      <w:r w:rsidR="0068077A">
        <w:t>D</w:t>
      </w:r>
      <w:r w:rsidR="00562A6D">
        <w:t>eath</w:t>
      </w:r>
      <w:r w:rsidR="0068077A">
        <w:t xml:space="preserve"> </w:t>
      </w:r>
      <w:r w:rsidR="00A1641E" w:rsidRPr="00A1641E">
        <w:rPr>
          <w:highlight w:val="yellow"/>
        </w:rPr>
        <w:t>(ADM)</w:t>
      </w:r>
    </w:p>
    <w:p w14:paraId="7AFDA712" w14:textId="2B454E55" w:rsidR="00562A6D" w:rsidRDefault="00523210" w:rsidP="00562A6D">
      <w:pPr>
        <w:pStyle w:val="ListParagraph"/>
        <w:numPr>
          <w:ilvl w:val="0"/>
          <w:numId w:val="17"/>
        </w:numPr>
      </w:pPr>
      <w:r>
        <w:t>Pg.</w:t>
      </w:r>
      <w:r w:rsidR="00562A6D">
        <w:t xml:space="preserve"> 54: </w:t>
      </w:r>
      <w:r w:rsidR="00562A6D" w:rsidRPr="00562A6D">
        <w:t>Cremation and Funeral</w:t>
      </w:r>
      <w:r w:rsidR="00562A6D">
        <w:t xml:space="preserve"> </w:t>
      </w:r>
      <w:r w:rsidR="00A1641E" w:rsidRPr="00A1641E">
        <w:rPr>
          <w:highlight w:val="yellow"/>
        </w:rPr>
        <w:t>(ADM)</w:t>
      </w:r>
    </w:p>
    <w:p w14:paraId="7C516DF1" w14:textId="29F6640B" w:rsidR="00562A6D" w:rsidRDefault="00523210" w:rsidP="00562A6D">
      <w:pPr>
        <w:pStyle w:val="ListParagraph"/>
        <w:numPr>
          <w:ilvl w:val="0"/>
          <w:numId w:val="17"/>
        </w:numPr>
      </w:pPr>
      <w:r>
        <w:t>Pg.</w:t>
      </w:r>
      <w:r w:rsidR="00562A6D">
        <w:t xml:space="preserve"> 54-55: Responsibilities of local administration for death process </w:t>
      </w:r>
      <w:r w:rsidR="00A1641E" w:rsidRPr="00A1641E">
        <w:rPr>
          <w:highlight w:val="yellow"/>
        </w:rPr>
        <w:t>(ADM)</w:t>
      </w:r>
    </w:p>
    <w:p w14:paraId="07EC4EF1" w14:textId="35DC05E5" w:rsidR="00562A6D" w:rsidRDefault="00562A6D" w:rsidP="00562A6D">
      <w:pPr>
        <w:pStyle w:val="Heading2"/>
      </w:pPr>
      <w:r>
        <w:t xml:space="preserve">Section </w:t>
      </w:r>
      <w:r w:rsidR="00383D25">
        <w:t>8</w:t>
      </w:r>
      <w:r>
        <w:t xml:space="preserve">: </w:t>
      </w:r>
      <w:r w:rsidRPr="00562A6D">
        <w:t>Laboratory Testing Management</w:t>
      </w:r>
    </w:p>
    <w:p w14:paraId="3DF90E70" w14:textId="5F811C84" w:rsidR="00562A6D" w:rsidRDefault="00562A6D" w:rsidP="00562A6D">
      <w:pPr>
        <w:pStyle w:val="Heading3"/>
      </w:pPr>
      <w:r w:rsidRPr="00562A6D">
        <w:t>Specimen Collection</w:t>
      </w:r>
    </w:p>
    <w:p w14:paraId="772FDDAD" w14:textId="5A506528" w:rsidR="00562A6D" w:rsidRDefault="00523210" w:rsidP="00562A6D">
      <w:pPr>
        <w:pStyle w:val="ListParagraph"/>
        <w:numPr>
          <w:ilvl w:val="0"/>
          <w:numId w:val="18"/>
        </w:numPr>
      </w:pPr>
      <w:r>
        <w:t>Pg.</w:t>
      </w:r>
      <w:r w:rsidR="00562A6D">
        <w:t xml:space="preserve"> 56: </w:t>
      </w:r>
      <w:r w:rsidR="00562A6D" w:rsidRPr="00562A6D">
        <w:t>Specimen Collection Site</w:t>
      </w:r>
      <w:r w:rsidR="0068077A">
        <w:t xml:space="preserve"> </w:t>
      </w:r>
      <w:r w:rsidR="00A1641E" w:rsidRPr="00A1641E">
        <w:rPr>
          <w:highlight w:val="yellow"/>
        </w:rPr>
        <w:t>(ADM)</w:t>
      </w:r>
    </w:p>
    <w:p w14:paraId="22344C92" w14:textId="0DA56F61" w:rsidR="00562A6D" w:rsidRDefault="00523210" w:rsidP="00562A6D">
      <w:pPr>
        <w:pStyle w:val="ListParagraph"/>
        <w:numPr>
          <w:ilvl w:val="0"/>
          <w:numId w:val="18"/>
        </w:numPr>
      </w:pPr>
      <w:r>
        <w:t>Pg.</w:t>
      </w:r>
      <w:r w:rsidR="00562A6D">
        <w:t xml:space="preserve"> 56-58: </w:t>
      </w:r>
      <w:r w:rsidR="00562A6D" w:rsidRPr="00562A6D">
        <w:t>Specimen Type and Packaging</w:t>
      </w:r>
      <w:r w:rsidR="0068077A">
        <w:t xml:space="preserve"> </w:t>
      </w:r>
      <w:r w:rsidR="00A1641E" w:rsidRPr="00A1641E">
        <w:rPr>
          <w:highlight w:val="darkBlue"/>
        </w:rPr>
        <w:t>(DOC)</w:t>
      </w:r>
    </w:p>
    <w:p w14:paraId="1674AD12" w14:textId="5C3EC231" w:rsidR="00562A6D" w:rsidRDefault="00523210" w:rsidP="00562A6D">
      <w:pPr>
        <w:pStyle w:val="ListParagraph"/>
        <w:numPr>
          <w:ilvl w:val="0"/>
          <w:numId w:val="18"/>
        </w:numPr>
      </w:pPr>
      <w:r>
        <w:t>Pg.</w:t>
      </w:r>
      <w:r w:rsidR="00562A6D">
        <w:t xml:space="preserve"> 59: Specimen collection p</w:t>
      </w:r>
      <w:r w:rsidR="00562A6D" w:rsidRPr="00562A6D">
        <w:t>recautions</w:t>
      </w:r>
      <w:r w:rsidR="0068077A">
        <w:t xml:space="preserve"> </w:t>
      </w:r>
      <w:r w:rsidR="00A1641E" w:rsidRPr="00A1641E">
        <w:rPr>
          <w:highlight w:val="darkBlue"/>
        </w:rPr>
        <w:t>(DOC)</w:t>
      </w:r>
    </w:p>
    <w:p w14:paraId="4DBB3905" w14:textId="09375177" w:rsidR="003F03D9" w:rsidRDefault="00523210" w:rsidP="003F03D9">
      <w:pPr>
        <w:pStyle w:val="ListParagraph"/>
        <w:numPr>
          <w:ilvl w:val="0"/>
          <w:numId w:val="18"/>
        </w:numPr>
      </w:pPr>
      <w:r>
        <w:t>Pg.</w:t>
      </w:r>
      <w:r w:rsidR="003F03D9">
        <w:t xml:space="preserve"> 59: Who tests </w:t>
      </w:r>
      <w:r w:rsidR="003F03D9">
        <w:t xml:space="preserve">specimens </w:t>
      </w:r>
      <w:r w:rsidR="003F03D9">
        <w:t>for coronavirus</w:t>
      </w:r>
      <w:r w:rsidR="0068077A">
        <w:t xml:space="preserve"> </w:t>
      </w:r>
      <w:r w:rsidR="00A1641E" w:rsidRPr="00A1641E">
        <w:rPr>
          <w:highlight w:val="yellow"/>
        </w:rPr>
        <w:t>(ADM)</w:t>
      </w:r>
    </w:p>
    <w:p w14:paraId="21140211" w14:textId="219FADF1" w:rsidR="003F03D9" w:rsidRDefault="003F03D9" w:rsidP="003F03D9">
      <w:pPr>
        <w:pStyle w:val="Heading3"/>
      </w:pPr>
      <w:r w:rsidRPr="003F03D9">
        <w:t>Specimen Transport</w:t>
      </w:r>
    </w:p>
    <w:p w14:paraId="3182569D" w14:textId="10F4AD4B" w:rsidR="003F03D9" w:rsidRDefault="00523210" w:rsidP="003F03D9">
      <w:pPr>
        <w:pStyle w:val="ListParagraph"/>
        <w:numPr>
          <w:ilvl w:val="0"/>
          <w:numId w:val="22"/>
        </w:numPr>
      </w:pPr>
      <w:r>
        <w:t>Pg.</w:t>
      </w:r>
      <w:r w:rsidR="003F03D9">
        <w:t xml:space="preserve"> 59: </w:t>
      </w:r>
      <w:r w:rsidR="003F03D9" w:rsidRPr="003F03D9">
        <w:t>Specimen Transport Management</w:t>
      </w:r>
      <w:r w:rsidR="003F03D9">
        <w:t xml:space="preserve"> </w:t>
      </w:r>
      <w:r w:rsidR="00A1641E" w:rsidRPr="00A1641E">
        <w:rPr>
          <w:highlight w:val="darkBlue"/>
        </w:rPr>
        <w:t>(DOC)</w:t>
      </w:r>
    </w:p>
    <w:p w14:paraId="1AAEFAA9" w14:textId="4C560058" w:rsidR="003F03D9" w:rsidRDefault="00523210" w:rsidP="003F03D9">
      <w:pPr>
        <w:pStyle w:val="ListParagraph"/>
        <w:numPr>
          <w:ilvl w:val="0"/>
          <w:numId w:val="22"/>
        </w:numPr>
      </w:pPr>
      <w:r>
        <w:t>Pg.</w:t>
      </w:r>
      <w:r w:rsidR="003F03D9">
        <w:t xml:space="preserve"> 59: </w:t>
      </w:r>
      <w:r w:rsidR="003F03D9" w:rsidRPr="003F03D9">
        <w:t>Storage Conditions During Specimen Transport</w:t>
      </w:r>
      <w:r w:rsidR="0068077A" w:rsidRPr="0068077A">
        <w:t xml:space="preserve"> </w:t>
      </w:r>
      <w:r w:rsidR="00A1641E" w:rsidRPr="00A1641E">
        <w:rPr>
          <w:highlight w:val="darkBlue"/>
        </w:rPr>
        <w:t>(DOC)</w:t>
      </w:r>
    </w:p>
    <w:p w14:paraId="4E81311D" w14:textId="78889E1D" w:rsidR="003F03D9" w:rsidRDefault="00523210" w:rsidP="003F03D9">
      <w:pPr>
        <w:pStyle w:val="ListParagraph"/>
        <w:numPr>
          <w:ilvl w:val="0"/>
          <w:numId w:val="22"/>
        </w:numPr>
      </w:pPr>
      <w:r>
        <w:lastRenderedPageBreak/>
        <w:t>Pg.</w:t>
      </w:r>
      <w:r w:rsidR="003F03D9">
        <w:t xml:space="preserve"> 60: </w:t>
      </w:r>
      <w:r w:rsidR="003F03D9" w:rsidRPr="003F03D9">
        <w:t>Precautions When Transporting Specimen</w:t>
      </w:r>
      <w:r w:rsidR="0068077A" w:rsidRPr="0068077A">
        <w:t xml:space="preserve"> </w:t>
      </w:r>
      <w:r w:rsidR="00A1641E" w:rsidRPr="00A1641E">
        <w:rPr>
          <w:highlight w:val="darkBlue"/>
        </w:rPr>
        <w:t>(DOC)</w:t>
      </w:r>
    </w:p>
    <w:p w14:paraId="7A9819A6" w14:textId="7EDDE8D8" w:rsidR="003F03D9" w:rsidRDefault="003F03D9" w:rsidP="003F03D9">
      <w:pPr>
        <w:pStyle w:val="Heading3"/>
      </w:pPr>
      <w:r w:rsidRPr="003F03D9">
        <w:t>Conducting Tests</w:t>
      </w:r>
    </w:p>
    <w:p w14:paraId="223A906B" w14:textId="28CDD5BD" w:rsidR="003F03D9" w:rsidRDefault="00523210" w:rsidP="003F03D9">
      <w:pPr>
        <w:pStyle w:val="ListParagraph"/>
        <w:numPr>
          <w:ilvl w:val="0"/>
          <w:numId w:val="23"/>
        </w:numPr>
      </w:pPr>
      <w:r>
        <w:t>Pg.</w:t>
      </w:r>
      <w:r w:rsidR="003F03D9">
        <w:t xml:space="preserve"> 60: who processes the tests of quarantined patients</w:t>
      </w:r>
      <w:r w:rsidR="0068077A" w:rsidRPr="0068077A">
        <w:t xml:space="preserve"> </w:t>
      </w:r>
      <w:r w:rsidR="00A1641E" w:rsidRPr="00A1641E">
        <w:rPr>
          <w:highlight w:val="darkMagenta"/>
        </w:rPr>
        <w:t>(TST)</w:t>
      </w:r>
    </w:p>
    <w:p w14:paraId="66694D3E" w14:textId="02507823" w:rsidR="003F03D9" w:rsidRDefault="00523210" w:rsidP="003F03D9">
      <w:pPr>
        <w:pStyle w:val="ListParagraph"/>
        <w:numPr>
          <w:ilvl w:val="0"/>
          <w:numId w:val="23"/>
        </w:numPr>
      </w:pPr>
      <w:r>
        <w:t>Pg.</w:t>
      </w:r>
      <w:r w:rsidR="003F03D9">
        <w:t xml:space="preserve"> 60: </w:t>
      </w:r>
      <w:r w:rsidR="003F03D9" w:rsidRPr="003F03D9">
        <w:t xml:space="preserve">who processes the tests </w:t>
      </w:r>
      <w:r w:rsidR="003F03D9">
        <w:t>determine scope of infection</w:t>
      </w:r>
      <w:r w:rsidR="0068077A" w:rsidRPr="0068077A">
        <w:t xml:space="preserve"> </w:t>
      </w:r>
      <w:r w:rsidR="00A1641E" w:rsidRPr="00A1641E">
        <w:rPr>
          <w:highlight w:val="darkMagenta"/>
        </w:rPr>
        <w:t>(TST)</w:t>
      </w:r>
    </w:p>
    <w:p w14:paraId="64310A2C" w14:textId="1BC5872C" w:rsidR="006E453A" w:rsidRDefault="00523210" w:rsidP="003F03D9">
      <w:pPr>
        <w:pStyle w:val="ListParagraph"/>
        <w:numPr>
          <w:ilvl w:val="0"/>
          <w:numId w:val="23"/>
        </w:numPr>
      </w:pPr>
      <w:r>
        <w:t>Pg.</w:t>
      </w:r>
      <w:r w:rsidR="006E453A">
        <w:t xml:space="preserve"> 60: Guideline to perform second test, if patient tests positive</w:t>
      </w:r>
      <w:r w:rsidR="0068077A">
        <w:t xml:space="preserve"> </w:t>
      </w:r>
      <w:r w:rsidR="00A1641E" w:rsidRPr="00A1641E">
        <w:rPr>
          <w:highlight w:val="darkMagenta"/>
        </w:rPr>
        <w:t>(TST)</w:t>
      </w:r>
    </w:p>
    <w:p w14:paraId="6057E7EE" w14:textId="2CABB525" w:rsidR="0019090E" w:rsidRDefault="0019090E" w:rsidP="0019090E">
      <w:pPr>
        <w:pStyle w:val="Heading3"/>
      </w:pPr>
      <w:r w:rsidRPr="0019090E">
        <w:t>Reporting Test Results</w:t>
      </w:r>
    </w:p>
    <w:p w14:paraId="52512801" w14:textId="77A6908C" w:rsidR="0019090E" w:rsidRDefault="00523210" w:rsidP="0019090E">
      <w:pPr>
        <w:pStyle w:val="ListParagraph"/>
        <w:numPr>
          <w:ilvl w:val="0"/>
          <w:numId w:val="24"/>
        </w:numPr>
      </w:pPr>
      <w:r>
        <w:t>Pg.</w:t>
      </w:r>
      <w:r w:rsidR="0019090E">
        <w:t xml:space="preserve"> 61: </w:t>
      </w:r>
      <w:r w:rsidR="0019090E" w:rsidRPr="0019090E">
        <w:t>Reporting Test Results</w:t>
      </w:r>
      <w:r w:rsidR="0068077A">
        <w:t xml:space="preserve"> </w:t>
      </w:r>
      <w:r w:rsidR="00A1641E" w:rsidRPr="00A1641E">
        <w:rPr>
          <w:highlight w:val="darkMagenta"/>
        </w:rPr>
        <w:t>(TST)</w:t>
      </w:r>
    </w:p>
    <w:p w14:paraId="710EFB8D" w14:textId="32E31665" w:rsidR="00383D25" w:rsidRDefault="00383D25" w:rsidP="00383D25">
      <w:pPr>
        <w:pStyle w:val="Heading2"/>
      </w:pPr>
      <w:r>
        <w:t>Section 9:</w:t>
      </w:r>
      <w:r w:rsidRPr="00383D25">
        <w:rPr>
          <w:rFonts w:asciiTheme="minorHAnsi" w:eastAsiaTheme="minorHAnsi" w:hAnsiTheme="minorHAnsi" w:cstheme="minorBidi"/>
          <w:color w:val="auto"/>
          <w:sz w:val="22"/>
          <w:szCs w:val="22"/>
        </w:rPr>
        <w:t xml:space="preserve"> </w:t>
      </w:r>
      <w:r w:rsidRPr="00383D25">
        <w:t>Environmental Management</w:t>
      </w:r>
    </w:p>
    <w:p w14:paraId="290AEFBF" w14:textId="7553EEE2" w:rsidR="007A544B" w:rsidRDefault="00523210" w:rsidP="007A544B">
      <w:pPr>
        <w:pStyle w:val="ListParagraph"/>
        <w:numPr>
          <w:ilvl w:val="0"/>
          <w:numId w:val="24"/>
        </w:numPr>
      </w:pPr>
      <w:r>
        <w:t>Pg.</w:t>
      </w:r>
      <w:r w:rsidR="00383D25">
        <w:t xml:space="preserve"> 62: </w:t>
      </w:r>
      <w:r w:rsidR="00383D25" w:rsidRPr="00383D25">
        <w:t>General Principles of Disinfection</w:t>
      </w:r>
      <w:r w:rsidR="0068077A" w:rsidRPr="0068077A">
        <w:t xml:space="preserve"> </w:t>
      </w:r>
      <w:r w:rsidR="00A1641E" w:rsidRPr="00A1641E">
        <w:rPr>
          <w:highlight w:val="darkBlue"/>
        </w:rPr>
        <w:t>(DOC)</w:t>
      </w:r>
    </w:p>
    <w:p w14:paraId="4F982187" w14:textId="22754B3D" w:rsidR="00383D25" w:rsidRDefault="00523210" w:rsidP="007A544B">
      <w:pPr>
        <w:pStyle w:val="ListParagraph"/>
        <w:numPr>
          <w:ilvl w:val="0"/>
          <w:numId w:val="24"/>
        </w:numPr>
      </w:pPr>
      <w:r>
        <w:t>Pg.</w:t>
      </w:r>
      <w:r w:rsidR="00383D25">
        <w:t xml:space="preserve"> 62-63: </w:t>
      </w:r>
      <w:r w:rsidR="00383D25" w:rsidRPr="00383D25">
        <w:t>Preparation Before Disinfection</w:t>
      </w:r>
      <w:r w:rsidR="0068077A" w:rsidRPr="0068077A">
        <w:t xml:space="preserve"> </w:t>
      </w:r>
      <w:r w:rsidR="00A1641E" w:rsidRPr="00A1641E">
        <w:rPr>
          <w:highlight w:val="darkBlue"/>
        </w:rPr>
        <w:t>(DOC)</w:t>
      </w:r>
    </w:p>
    <w:p w14:paraId="58F32688" w14:textId="78F5F3CE" w:rsidR="00383D25" w:rsidRDefault="00523210" w:rsidP="007A544B">
      <w:pPr>
        <w:pStyle w:val="ListParagraph"/>
        <w:numPr>
          <w:ilvl w:val="0"/>
          <w:numId w:val="24"/>
        </w:numPr>
      </w:pPr>
      <w:r>
        <w:t>Pg.</w:t>
      </w:r>
      <w:r w:rsidR="00383D25">
        <w:t xml:space="preserve"> 63: </w:t>
      </w:r>
      <w:r w:rsidR="00383D25" w:rsidRPr="00383D25">
        <w:t>Precautions During Disinfection</w:t>
      </w:r>
      <w:r w:rsidR="0068077A" w:rsidRPr="0068077A">
        <w:t xml:space="preserve"> </w:t>
      </w:r>
      <w:r w:rsidR="00A1641E" w:rsidRPr="00A1641E">
        <w:rPr>
          <w:highlight w:val="darkBlue"/>
        </w:rPr>
        <w:t>(DOC)</w:t>
      </w:r>
    </w:p>
    <w:p w14:paraId="15BD7ED0" w14:textId="4F30AF03" w:rsidR="00383D25" w:rsidRDefault="00523210" w:rsidP="007A544B">
      <w:pPr>
        <w:pStyle w:val="ListParagraph"/>
        <w:numPr>
          <w:ilvl w:val="0"/>
          <w:numId w:val="24"/>
        </w:numPr>
      </w:pPr>
      <w:r>
        <w:t>Pg.</w:t>
      </w:r>
      <w:r w:rsidR="00383D25">
        <w:t xml:space="preserve"> 64-65: </w:t>
      </w:r>
      <w:r w:rsidR="00383D25" w:rsidRPr="00383D25">
        <w:t>Precautions After Disinfection</w:t>
      </w:r>
      <w:r w:rsidR="0068077A">
        <w:t xml:space="preserve"> </w:t>
      </w:r>
      <w:r w:rsidR="00A1641E" w:rsidRPr="00A1641E">
        <w:rPr>
          <w:highlight w:val="darkBlue"/>
        </w:rPr>
        <w:t>(DOC)</w:t>
      </w:r>
    </w:p>
    <w:p w14:paraId="5FF44FDD" w14:textId="41A95FFD" w:rsidR="00383D25" w:rsidRDefault="00523210" w:rsidP="007A544B">
      <w:pPr>
        <w:pStyle w:val="ListParagraph"/>
        <w:numPr>
          <w:ilvl w:val="0"/>
          <w:numId w:val="24"/>
        </w:numPr>
      </w:pPr>
      <w:r>
        <w:t>Pg.</w:t>
      </w:r>
      <w:r w:rsidR="00383D25">
        <w:t xml:space="preserve"> 65: Local administration d</w:t>
      </w:r>
      <w:r w:rsidR="00383D25" w:rsidRPr="00383D25">
        <w:t xml:space="preserve">isinfection </w:t>
      </w:r>
      <w:r w:rsidR="00383D25">
        <w:t>m</w:t>
      </w:r>
      <w:r w:rsidR="00383D25" w:rsidRPr="00383D25">
        <w:t>easures</w:t>
      </w:r>
      <w:r w:rsidR="0068077A">
        <w:t xml:space="preserve"> </w:t>
      </w:r>
      <w:r w:rsidR="00A1641E" w:rsidRPr="00A1641E">
        <w:rPr>
          <w:highlight w:val="yellow"/>
        </w:rPr>
        <w:t>(ADM)</w:t>
      </w:r>
    </w:p>
    <w:p w14:paraId="0EA2A06D" w14:textId="58588DA2" w:rsidR="00383D25" w:rsidRDefault="00383D25" w:rsidP="00383D25">
      <w:pPr>
        <w:pStyle w:val="Heading2"/>
      </w:pPr>
      <w:r>
        <w:t>Forms:</w:t>
      </w:r>
    </w:p>
    <w:p w14:paraId="583E77BC" w14:textId="404F5EF3" w:rsidR="00383D25" w:rsidRDefault="00523210" w:rsidP="00383D25">
      <w:pPr>
        <w:pStyle w:val="ListParagraph"/>
        <w:numPr>
          <w:ilvl w:val="0"/>
          <w:numId w:val="25"/>
        </w:numPr>
      </w:pPr>
      <w:r>
        <w:t>Pg.</w:t>
      </w:r>
      <w:r w:rsidR="00383D25">
        <w:t xml:space="preserve"> 67-90: forms</w:t>
      </w:r>
    </w:p>
    <w:p w14:paraId="1F8854D0" w14:textId="01BD27F8" w:rsidR="00383D25" w:rsidRDefault="00383D25" w:rsidP="00383D25">
      <w:pPr>
        <w:pStyle w:val="Heading2"/>
      </w:pPr>
      <w:r w:rsidRPr="00383D25">
        <w:t>Disclaimer</w:t>
      </w:r>
      <w:r>
        <w:t xml:space="preserve"> &amp; Contributors:</w:t>
      </w:r>
    </w:p>
    <w:p w14:paraId="50B2FD8E" w14:textId="04CE7230" w:rsidR="00383D25" w:rsidRPr="00383D25" w:rsidRDefault="00523210" w:rsidP="00383D25">
      <w:pPr>
        <w:pStyle w:val="ListParagraph"/>
        <w:numPr>
          <w:ilvl w:val="0"/>
          <w:numId w:val="25"/>
        </w:numPr>
      </w:pPr>
      <w:r>
        <w:t>Pg.</w:t>
      </w:r>
      <w:r w:rsidR="00383D25">
        <w:t xml:space="preserve"> 91</w:t>
      </w:r>
    </w:p>
    <w:sectPr w:rsidR="00383D25" w:rsidRPr="0038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910"/>
    <w:multiLevelType w:val="hybridMultilevel"/>
    <w:tmpl w:val="C0D6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835C1"/>
    <w:multiLevelType w:val="hybridMultilevel"/>
    <w:tmpl w:val="B5BE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840D9"/>
    <w:multiLevelType w:val="hybridMultilevel"/>
    <w:tmpl w:val="44B4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75707"/>
    <w:multiLevelType w:val="hybridMultilevel"/>
    <w:tmpl w:val="DDC4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861B0"/>
    <w:multiLevelType w:val="hybridMultilevel"/>
    <w:tmpl w:val="EE0A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B65F7"/>
    <w:multiLevelType w:val="hybridMultilevel"/>
    <w:tmpl w:val="E02C9E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1D1DD0"/>
    <w:multiLevelType w:val="hybridMultilevel"/>
    <w:tmpl w:val="F80A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37993"/>
    <w:multiLevelType w:val="hybridMultilevel"/>
    <w:tmpl w:val="B48A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B438B"/>
    <w:multiLevelType w:val="hybridMultilevel"/>
    <w:tmpl w:val="00A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A7993"/>
    <w:multiLevelType w:val="hybridMultilevel"/>
    <w:tmpl w:val="B10A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140B4"/>
    <w:multiLevelType w:val="hybridMultilevel"/>
    <w:tmpl w:val="192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87EA7"/>
    <w:multiLevelType w:val="hybridMultilevel"/>
    <w:tmpl w:val="5674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9693B"/>
    <w:multiLevelType w:val="hybridMultilevel"/>
    <w:tmpl w:val="B6D4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843D2"/>
    <w:multiLevelType w:val="hybridMultilevel"/>
    <w:tmpl w:val="1700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24996"/>
    <w:multiLevelType w:val="hybridMultilevel"/>
    <w:tmpl w:val="98A0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DC0501"/>
    <w:multiLevelType w:val="hybridMultilevel"/>
    <w:tmpl w:val="3808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8E1386"/>
    <w:multiLevelType w:val="hybridMultilevel"/>
    <w:tmpl w:val="58B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D3D12"/>
    <w:multiLevelType w:val="hybridMultilevel"/>
    <w:tmpl w:val="184C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C5F7C"/>
    <w:multiLevelType w:val="hybridMultilevel"/>
    <w:tmpl w:val="CEF4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E46C9"/>
    <w:multiLevelType w:val="hybridMultilevel"/>
    <w:tmpl w:val="9942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550A0"/>
    <w:multiLevelType w:val="hybridMultilevel"/>
    <w:tmpl w:val="88D0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F6C6A"/>
    <w:multiLevelType w:val="hybridMultilevel"/>
    <w:tmpl w:val="CD9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83435A"/>
    <w:multiLevelType w:val="hybridMultilevel"/>
    <w:tmpl w:val="FB6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476E12"/>
    <w:multiLevelType w:val="hybridMultilevel"/>
    <w:tmpl w:val="1060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B1AF7"/>
    <w:multiLevelType w:val="hybridMultilevel"/>
    <w:tmpl w:val="485A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63EF1"/>
    <w:multiLevelType w:val="hybridMultilevel"/>
    <w:tmpl w:val="B0E0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5"/>
  </w:num>
  <w:num w:numId="4">
    <w:abstractNumId w:val="19"/>
  </w:num>
  <w:num w:numId="5">
    <w:abstractNumId w:val="4"/>
  </w:num>
  <w:num w:numId="6">
    <w:abstractNumId w:val="3"/>
  </w:num>
  <w:num w:numId="7">
    <w:abstractNumId w:val="6"/>
  </w:num>
  <w:num w:numId="8">
    <w:abstractNumId w:val="18"/>
  </w:num>
  <w:num w:numId="9">
    <w:abstractNumId w:val="23"/>
  </w:num>
  <w:num w:numId="10">
    <w:abstractNumId w:val="9"/>
  </w:num>
  <w:num w:numId="11">
    <w:abstractNumId w:val="21"/>
  </w:num>
  <w:num w:numId="12">
    <w:abstractNumId w:val="17"/>
  </w:num>
  <w:num w:numId="13">
    <w:abstractNumId w:val="10"/>
  </w:num>
  <w:num w:numId="14">
    <w:abstractNumId w:val="16"/>
  </w:num>
  <w:num w:numId="15">
    <w:abstractNumId w:val="20"/>
  </w:num>
  <w:num w:numId="16">
    <w:abstractNumId w:val="8"/>
  </w:num>
  <w:num w:numId="17">
    <w:abstractNumId w:val="24"/>
  </w:num>
  <w:num w:numId="18">
    <w:abstractNumId w:val="0"/>
  </w:num>
  <w:num w:numId="19">
    <w:abstractNumId w:val="11"/>
  </w:num>
  <w:num w:numId="20">
    <w:abstractNumId w:val="15"/>
  </w:num>
  <w:num w:numId="21">
    <w:abstractNumId w:val="5"/>
  </w:num>
  <w:num w:numId="22">
    <w:abstractNumId w:val="12"/>
  </w:num>
  <w:num w:numId="23">
    <w:abstractNumId w:val="14"/>
  </w:num>
  <w:num w:numId="24">
    <w:abstractNumId w:val="2"/>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4A"/>
    <w:rsid w:val="00100F18"/>
    <w:rsid w:val="0019090E"/>
    <w:rsid w:val="001A1D9D"/>
    <w:rsid w:val="003006E1"/>
    <w:rsid w:val="003324F4"/>
    <w:rsid w:val="00383D25"/>
    <w:rsid w:val="003F03D9"/>
    <w:rsid w:val="00523210"/>
    <w:rsid w:val="00562A6D"/>
    <w:rsid w:val="00600759"/>
    <w:rsid w:val="0068077A"/>
    <w:rsid w:val="006E453A"/>
    <w:rsid w:val="007A544B"/>
    <w:rsid w:val="007E1160"/>
    <w:rsid w:val="007E6378"/>
    <w:rsid w:val="00804FF4"/>
    <w:rsid w:val="008835A8"/>
    <w:rsid w:val="00A0514A"/>
    <w:rsid w:val="00A1641E"/>
    <w:rsid w:val="00C12477"/>
    <w:rsid w:val="00CD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786B"/>
  <w15:chartTrackingRefBased/>
  <w15:docId w15:val="{E3E0FA47-0EBC-49DB-B132-A463305E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4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54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44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A544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A54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544B"/>
    <w:rPr>
      <w:rFonts w:eastAsiaTheme="minorEastAsia"/>
      <w:color w:val="5A5A5A" w:themeColor="text1" w:themeTint="A5"/>
      <w:spacing w:val="15"/>
    </w:rPr>
  </w:style>
  <w:style w:type="character" w:styleId="SubtleEmphasis">
    <w:name w:val="Subtle Emphasis"/>
    <w:basedOn w:val="DefaultParagraphFont"/>
    <w:uiPriority w:val="19"/>
    <w:qFormat/>
    <w:rsid w:val="007A544B"/>
    <w:rPr>
      <w:i/>
      <w:iCs/>
      <w:color w:val="404040" w:themeColor="text1" w:themeTint="BF"/>
    </w:rPr>
  </w:style>
  <w:style w:type="paragraph" w:styleId="ListParagraph">
    <w:name w:val="List Paragraph"/>
    <w:basedOn w:val="Normal"/>
    <w:uiPriority w:val="34"/>
    <w:qFormat/>
    <w:rsid w:val="007A5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Friedman</dc:creator>
  <cp:keywords/>
  <dc:description/>
  <cp:lastModifiedBy>John Friedman</cp:lastModifiedBy>
  <cp:revision>12</cp:revision>
  <dcterms:created xsi:type="dcterms:W3CDTF">2020-04-13T03:39:00Z</dcterms:created>
  <dcterms:modified xsi:type="dcterms:W3CDTF">2020-04-13T05:32:00Z</dcterms:modified>
</cp:coreProperties>
</file>