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2DAEE" w14:textId="343CA571" w:rsidR="009B66BD" w:rsidRDefault="009B66BD" w:rsidP="009B66BD">
      <w:pPr>
        <w:pStyle w:val="ListParagraph"/>
        <w:numPr>
          <w:ilvl w:val="0"/>
          <w:numId w:val="1"/>
        </w:numPr>
        <w:rPr>
          <w:sz w:val="28"/>
          <w:szCs w:val="28"/>
        </w:rPr>
      </w:pPr>
      <w:bookmarkStart w:id="0" w:name="_GoBack"/>
      <w:bookmarkEnd w:id="0"/>
      <w:r w:rsidRPr="009B66BD">
        <w:rPr>
          <w:sz w:val="28"/>
          <w:szCs w:val="28"/>
        </w:rPr>
        <w:t>If an employee is hospitalized or quarantined/isolated, the employer may grant paid leave (if the cost of paid leave is subsidized by the State, the employer is obligated to provide paid leave)</w:t>
      </w:r>
    </w:p>
    <w:p w14:paraId="15A3A969" w14:textId="46C04DFF" w:rsidR="009B66BD" w:rsidRDefault="009B66BD" w:rsidP="009B66BD">
      <w:pPr>
        <w:pStyle w:val="ListParagraph"/>
        <w:numPr>
          <w:ilvl w:val="0"/>
          <w:numId w:val="1"/>
        </w:numPr>
        <w:rPr>
          <w:sz w:val="28"/>
          <w:szCs w:val="28"/>
        </w:rPr>
      </w:pPr>
      <w:r w:rsidRPr="009B66BD">
        <w:rPr>
          <w:sz w:val="28"/>
          <w:szCs w:val="28"/>
        </w:rPr>
        <w:t>No employer shall dismiss, or otherwise unfavorably treat, an employee because of paid leave</w:t>
      </w:r>
    </w:p>
    <w:p w14:paraId="5A7D0D72" w14:textId="6533AA0A" w:rsidR="009B66BD" w:rsidRDefault="009B66BD" w:rsidP="009B66BD">
      <w:pPr>
        <w:pStyle w:val="ListParagraph"/>
        <w:numPr>
          <w:ilvl w:val="1"/>
          <w:numId w:val="1"/>
        </w:numPr>
        <w:rPr>
          <w:sz w:val="28"/>
          <w:szCs w:val="28"/>
        </w:rPr>
      </w:pPr>
      <w:r w:rsidRPr="009B66BD">
        <w:rPr>
          <w:sz w:val="28"/>
          <w:szCs w:val="28"/>
        </w:rPr>
        <w:t>Not applicable when the employer is unable to continue business during the period of the paid leave</w:t>
      </w:r>
    </w:p>
    <w:p w14:paraId="0A0F3BC5" w14:textId="0466027C" w:rsidR="009B66BD" w:rsidRDefault="009B66BD" w:rsidP="009B66BD">
      <w:pPr>
        <w:pStyle w:val="ListParagraph"/>
        <w:numPr>
          <w:ilvl w:val="0"/>
          <w:numId w:val="1"/>
        </w:numPr>
        <w:rPr>
          <w:sz w:val="28"/>
          <w:szCs w:val="28"/>
        </w:rPr>
      </w:pPr>
      <w:r w:rsidRPr="009B66BD">
        <w:rPr>
          <w:sz w:val="28"/>
          <w:szCs w:val="28"/>
        </w:rPr>
        <w:t>The Minister of Health and Welfare, a governor of a municipality, or the head of a city/county/district shall provide compensations to a person suffering from losses, in accordance with the deliberations and decisions of the Compensation Deliberation Committee</w:t>
      </w:r>
    </w:p>
    <w:p w14:paraId="5879F662" w14:textId="264E096A" w:rsidR="009B66BD" w:rsidRDefault="009B66BD" w:rsidP="009B66BD">
      <w:pPr>
        <w:pStyle w:val="ListParagraph"/>
        <w:numPr>
          <w:ilvl w:val="0"/>
          <w:numId w:val="1"/>
        </w:numPr>
        <w:rPr>
          <w:sz w:val="28"/>
          <w:szCs w:val="28"/>
        </w:rPr>
      </w:pPr>
      <w:r w:rsidRPr="009B66BD">
        <w:rPr>
          <w:sz w:val="28"/>
          <w:szCs w:val="28"/>
        </w:rPr>
        <w:t>The Minister of Health and Welfare, a governor of a municipality, or the head of a city/county/district may offer financial support (e.g. allowances, travel expenses, etc.) to medical personnel or owners of healthcare facilities that supported the surveillance, prevention, control, or epidemiological investigation of an infectious disease</w:t>
      </w:r>
    </w:p>
    <w:p w14:paraId="1ACBE5ED" w14:textId="3FDAA369" w:rsidR="009B66BD" w:rsidRDefault="009B66BD" w:rsidP="009B66BD">
      <w:pPr>
        <w:pStyle w:val="ListParagraph"/>
        <w:numPr>
          <w:ilvl w:val="0"/>
          <w:numId w:val="1"/>
        </w:numPr>
        <w:rPr>
          <w:sz w:val="28"/>
          <w:szCs w:val="28"/>
        </w:rPr>
      </w:pPr>
      <w:r w:rsidRPr="009B66BD">
        <w:rPr>
          <w:sz w:val="28"/>
          <w:szCs w:val="28"/>
        </w:rPr>
        <w:t>The Minister of Health and Welfare, a governor of a municipality, or the head of a city/county/district may provide financial assistance to hospitalized or isolated persons, including for treatment costs and livelihood assistanc</w:t>
      </w:r>
      <w:r>
        <w:rPr>
          <w:sz w:val="28"/>
          <w:szCs w:val="28"/>
        </w:rPr>
        <w:t>e</w:t>
      </w:r>
    </w:p>
    <w:p w14:paraId="41BBBF46" w14:textId="40CD5A62" w:rsidR="009B66BD" w:rsidRDefault="009B66BD" w:rsidP="009B66BD">
      <w:pPr>
        <w:pStyle w:val="ListParagraph"/>
        <w:numPr>
          <w:ilvl w:val="0"/>
          <w:numId w:val="1"/>
        </w:numPr>
        <w:rPr>
          <w:sz w:val="28"/>
          <w:szCs w:val="28"/>
        </w:rPr>
      </w:pPr>
      <w:r w:rsidRPr="009B66BD">
        <w:rPr>
          <w:sz w:val="28"/>
          <w:szCs w:val="28"/>
        </w:rPr>
        <w:t>If a gap in childcare occurs due to hospitalization or quarantine/isolation, necessary measures, such as childcare support, shall be taken</w:t>
      </w:r>
    </w:p>
    <w:p w14:paraId="21113047" w14:textId="58BD7CBD" w:rsidR="009B66BD" w:rsidRDefault="0052163F" w:rsidP="009B66BD">
      <w:pPr>
        <w:pStyle w:val="ListParagraph"/>
        <w:numPr>
          <w:ilvl w:val="0"/>
          <w:numId w:val="1"/>
        </w:numPr>
        <w:rPr>
          <w:sz w:val="28"/>
          <w:szCs w:val="28"/>
        </w:rPr>
      </w:pPr>
      <w:r>
        <w:rPr>
          <w:sz w:val="28"/>
          <w:szCs w:val="28"/>
        </w:rPr>
        <w:t>Isolation costs?</w:t>
      </w:r>
    </w:p>
    <w:p w14:paraId="78674994" w14:textId="57F3D4E7" w:rsidR="00542EC4" w:rsidRDefault="00542EC4" w:rsidP="009B66BD">
      <w:pPr>
        <w:pStyle w:val="ListParagraph"/>
        <w:numPr>
          <w:ilvl w:val="0"/>
          <w:numId w:val="1"/>
        </w:numPr>
        <w:rPr>
          <w:sz w:val="28"/>
          <w:szCs w:val="28"/>
        </w:rPr>
      </w:pPr>
      <w:r w:rsidRPr="00542EC4">
        <w:rPr>
          <w:sz w:val="28"/>
          <w:szCs w:val="28"/>
        </w:rPr>
        <w:t>Healthcare facilities other than public health centers: Only patients reported to public health centers according to the applicable case definitions (applicability must be noted on the Remarks section) will be eligible for health insurance coverage and coinsurance support</w:t>
      </w:r>
    </w:p>
    <w:p w14:paraId="403B7816" w14:textId="28341886" w:rsidR="00542EC4" w:rsidRPr="009B66BD" w:rsidRDefault="00542EC4" w:rsidP="009B66BD">
      <w:pPr>
        <w:pStyle w:val="ListParagraph"/>
        <w:numPr>
          <w:ilvl w:val="0"/>
          <w:numId w:val="1"/>
        </w:numPr>
        <w:rPr>
          <w:sz w:val="28"/>
          <w:szCs w:val="28"/>
        </w:rPr>
      </w:pPr>
      <w:r w:rsidRPr="00542EC4">
        <w:rPr>
          <w:sz w:val="28"/>
          <w:szCs w:val="28"/>
        </w:rPr>
        <w:t>Public health centers: Subsidized testing fees will be given to the KCDC-designated laboratories according to the commission contract, but only for patients reported to public health centers according to the applicable case definitions. Local governments will pay the fees for specimens requested due to the respective government’s needs, aside from the applicable case definitions.</w:t>
      </w:r>
    </w:p>
    <w:p w14:paraId="76B1BFE8" w14:textId="77777777" w:rsidR="009B66BD" w:rsidRPr="009B66BD" w:rsidRDefault="009B66BD" w:rsidP="009B66BD"/>
    <w:sectPr w:rsidR="009B66BD" w:rsidRPr="009B6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E7B9F"/>
    <w:multiLevelType w:val="hybridMultilevel"/>
    <w:tmpl w:val="AC6E8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0F"/>
    <w:rsid w:val="00235455"/>
    <w:rsid w:val="0052163F"/>
    <w:rsid w:val="00542EC4"/>
    <w:rsid w:val="00790F0F"/>
    <w:rsid w:val="009B66BD"/>
    <w:rsid w:val="00D4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D1A9"/>
  <w15:chartTrackingRefBased/>
  <w15:docId w15:val="{B7380FC6-C2E2-495B-AEDA-1C024DB1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Friedman</dc:creator>
  <cp:keywords/>
  <dc:description/>
  <cp:lastModifiedBy>John Friedman</cp:lastModifiedBy>
  <cp:revision>2</cp:revision>
  <dcterms:created xsi:type="dcterms:W3CDTF">2020-04-08T02:50:00Z</dcterms:created>
  <dcterms:modified xsi:type="dcterms:W3CDTF">2020-04-08T05:23:00Z</dcterms:modified>
</cp:coreProperties>
</file>