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color w:val="003399"/>
          <w:sz w:val="32"/>
        </w:rPr>
        <w:t>ARQUITECTURA DISTRIBUIDA P2P PARA HISTORIA CLÍNICA ELECTRÓNICA CON HL7 FHIR R4 Y CITUS</w:t>
      </w:r>
    </w:p>
    <w:p>
      <w:pPr>
        <w:spacing w:before="40" w:after="40"/>
        <w:jc w:val="center"/>
      </w:pPr>
      <w:r>
        <w:rPr>
          <w:rFonts w:ascii="Times New Roman" w:hAnsi="Times New Roman"/>
          <w:b w:val="0"/>
          <w:i/>
          <w:sz w:val="20"/>
        </w:rPr>
        <w:t>Gómez J.¹  —  [Apellido, Nombre]²  —  [Apellido, Nombre]³</w:t>
      </w:r>
    </w:p>
    <w:p>
      <w:pPr>
        <w:spacing w:before="0" w:after="80"/>
        <w:jc w:val="center"/>
      </w:pPr>
      <w:r>
        <w:rPr>
          <w:rFonts w:ascii="Times New Roman" w:hAnsi="Times New Roman"/>
          <w:b w:val="0"/>
          <w:i/>
          <w:sz w:val="16"/>
        </w:rPr>
        <w:t>¹Universidad / Programa de Ingeniería de Sistemas — Colombia — jgomezengineer92@dominio.edu  |  ²...  |  ³...</w:t>
      </w:r>
    </w:p>
    <w:p>
      <w:pPr>
        <w:pBdr>
          <w:bottom w:val="single" w:sz="12" w:space="1" w:color="003399"/>
        </w:pBdr>
        <w:spacing w:before="40" w:after="120"/>
      </w:pPr>
    </w:p>
    <w:tbl>
      <w:tblPr>
        <w:tblStyle w:val="TableGrid"/>
        <w:tblW w:type="auto" w:w="0"/>
        <w:tblLook w:firstColumn="1" w:firstRow="1" w:lastColumn="0" w:lastRow="0" w:noHBand="0" w:noVBand="1" w:val="04A0"/>
      </w:tblPr>
      <w:tblGrid>
        <w:gridCol w:w="10224"/>
      </w:tblGrid>
      <w:tr>
        <w:tc>
          <w:tcPr>
            <w:tcW w:type="dxa" w:w="10224"/>
            <w:shd w:val="clear" w:color="auto" w:fill="E8E8E8"/>
          </w:tcPr>
          <w:p>
            <w:pPr>
              <w:spacing w:before="80" w:after="80" w:line="220" w:lineRule="exact"/>
              <w:jc w:val="both"/>
            </w:pPr>
            <w:r>
              <w:rPr>
                <w:rFonts w:ascii="Times New Roman" w:hAnsi="Times New Roman"/>
                <w:b/>
                <w:i/>
                <w:sz w:val="18"/>
              </w:rPr>
              <w:t xml:space="preserve">Abstract — </w:t>
            </w:r>
            <w:r>
              <w:rPr>
                <w:rFonts w:ascii="Times New Roman" w:hAnsi="Times New Roman"/>
                <w:b w:val="0"/>
                <w:i/>
                <w:sz w:val="18"/>
              </w:rPr>
              <w:t>This paper presents the design and implementation of a peer-to-peer (P2P) distributed architecture for Electronic Health Records (EHR) management, compliant with Colombia's Resolution 866 of 2021. The system integrates HAPI FHIR R4 servers for healthcare interoperability, PostgreSQL/Citus as a distributed transactional database sharding 57 clinical fields across multiple geographic nodes, and Apache CouchDB as a document store per node. Security is enforced via OAuth2/JWT with SMART on FHIR scopes. The observability stack uses Prometheus and Grafana for real-time metrics across all nodes. Fault tolerance was validated through chaos engineering experiments: after stopping one Citus worker node, 83 shards were detected as affected while reference tables remained fully available, and full recovery was achieved within seconds upon node reactivation. Distributed queries executed transparently via Citus Adaptive scan across 32 task partitions. The architecture achieves high availability through geographic node replication (La Guajira, Amazonas, Guainía), automated health checks with etcd-based service discovery, and a Token Bucket rate limiter. Results confirm that the proposed system meets scalability, security, and regulatory compliance requirements for distributed health information systems in resource-limited Colombian regions.</w:t>
            </w:r>
          </w:p>
          <w:p>
            <w:pPr>
              <w:spacing w:before="40" w:after="80"/>
            </w:pPr>
            <w:r>
              <w:rPr>
                <w:rFonts w:ascii="Times New Roman" w:hAnsi="Times New Roman"/>
                <w:b/>
                <w:i/>
                <w:sz w:val="18"/>
              </w:rPr>
              <w:t xml:space="preserve">Keywords — </w:t>
            </w:r>
            <w:r>
              <w:rPr>
                <w:rFonts w:ascii="Times New Roman" w:hAnsi="Times New Roman"/>
                <w:b w:val="0"/>
                <w:i/>
                <w:sz w:val="18"/>
              </w:rPr>
              <w:t>distributed systems, FHIR R4, Citus, electronic health records, P2P, OAuth2, fault tolerance</w:t>
            </w:r>
          </w:p>
        </w:tc>
      </w:tr>
    </w:tbl>
    <w:p/>
    <w:p>
      <w:pPr>
        <w:spacing w:before="0" w:after="0"/>
        <w:sectPr>
          <w:cols w:num="2" w:space="720" w:equalWidth="1"/>
          <w:pgSz w:w="12240" w:h="15840"/>
          <w:pgMar w:top="1007" w:right="1007" w:bottom="1007" w:left="1007"/>
          <w:type w:val="continuous"/>
        </w:sectPr>
      </w:pPr>
    </w:p>
    <w:p>
      <w:pPr>
        <w:spacing w:before="120" w:after="60"/>
        <w:jc w:val="left"/>
      </w:pPr>
      <w:r>
        <w:rPr>
          <w:rFonts w:ascii="Times New Roman" w:hAnsi="Times New Roman"/>
          <w:b/>
          <w:i w:val="0"/>
          <w:sz w:val="18"/>
        </w:rPr>
        <w:t>I. INTRODUCCIÓN</w:t>
      </w:r>
    </w:p>
    <w:p>
      <w:pPr>
        <w:spacing w:before="0" w:after="60" w:line="220" w:lineRule="exact"/>
        <w:ind w:firstLine="280"/>
        <w:jc w:val="both"/>
      </w:pPr>
      <w:r>
        <w:rPr>
          <w:rFonts w:ascii="Times New Roman" w:hAnsi="Times New Roman"/>
          <w:b w:val="0"/>
          <w:i w:val="0"/>
          <w:sz w:val="18"/>
        </w:rPr>
        <w:t>La gestión de historias clínicas electrónicas (HCE) en Colombia está regida por la Resolución 866 de 2021 del Ministerio de Salud, que exige el registro de 57 campos estructurados distribuidos en cinco secciones clínicas. En regiones con infraestructura limitada como La Guajira, Amazonas y Guainía, la centralización de datos clínicos genera puntos únicos de falla y latencias inaceptables para la atención de emergencias. La pregunta de investigación es: ¿Cómo diseñar una arquitectura distribuida que garantice disponibilidad, interoperabilidad y cumplimiento normativo para la HCE en nodos geográficos heterogéneos?</w:t>
        <w:br/>
        <w:br/>
        <w:t>El objetivo principal de este trabajo es proponer, implementar y validar una arquitectura P2P basada en microservicios que integre HL7 FHIR R4, PostgreSQL/Citus y CouchDB para la gestión distribuida de HCE. El artículo se organiza así: la Sección II presenta el marco teórico; la Sección III el estado del arte; la Sección IV la metodología y propuesta; la Sección V los resultados; la Sección VI la discusión; y la Sección VII las conclusiones.</w:t>
      </w:r>
    </w:p>
    <w:p>
      <w:pPr>
        <w:spacing w:before="120" w:after="60"/>
        <w:jc w:val="left"/>
      </w:pPr>
      <w:r>
        <w:rPr>
          <w:rFonts w:ascii="Times New Roman" w:hAnsi="Times New Roman"/>
          <w:b/>
          <w:i w:val="0"/>
          <w:sz w:val="18"/>
        </w:rPr>
        <w:t>II. MARCO TEÓRICO</w:t>
      </w:r>
    </w:p>
    <w:p>
      <w:pPr>
        <w:spacing w:before="0" w:after="60" w:line="220" w:lineRule="exact"/>
        <w:ind w:firstLine="280"/>
        <w:jc w:val="both"/>
      </w:pPr>
      <w:r>
        <w:rPr>
          <w:rFonts w:ascii="Times New Roman" w:hAnsi="Times New Roman"/>
          <w:b w:val="0"/>
          <w:i w:val="0"/>
          <w:sz w:val="18"/>
        </w:rPr>
        <w:t>Los sistemas distribuidos son conjuntos de nodos independientes que colaboran para ofrecer servicios con transparencia de distribución [1]. La interoperabilidad en salud se logra mediante el estándar HL7 FHIR R4 (Fast Healthcare Interoperability Resources), que define recursos REST como Patient, Encounter, Observation, Condition y MedicationRequest [2]. PostgreSQL/Citus extiende PostgreSQL para escalar horizontalmente mediante sharding automático de tablas distribuidas y tablas de referencia replicadas [3]. Apache CouchDB implementa replicación P2P basada en el protocolo Couch, adecuada para nodos con conectividad intermitente [6]. OAuth2 con extensiones SMART on FHIR provee autorización granular por scope (patient/*.read, patient/*.write) sobre recursos clínicos [7]. La observabilidad se implementa con Prometheus (scraping de métricas) y Grafana (visualización de dashboards), siguiendo el modelo de los tres pilares: métricas, trazas y logs [5].</w:t>
      </w:r>
    </w:p>
    <w:p>
      <w:pPr>
        <w:spacing w:before="120" w:after="60"/>
        <w:jc w:val="left"/>
      </w:pPr>
      <w:r>
        <w:rPr>
          <w:rFonts w:ascii="Times New Roman" w:hAnsi="Times New Roman"/>
          <w:b/>
          <w:i w:val="0"/>
          <w:sz w:val="18"/>
        </w:rPr>
        <w:t>III. ESTADO DEL ARTE</w:t>
      </w:r>
    </w:p>
    <w:p>
      <w:pPr>
        <w:spacing w:before="0" w:after="60" w:line="220" w:lineRule="exact"/>
        <w:ind w:firstLine="280"/>
        <w:jc w:val="both"/>
      </w:pPr>
      <w:r>
        <w:rPr>
          <w:rFonts w:ascii="Times New Roman" w:hAnsi="Times New Roman"/>
          <w:b w:val="0"/>
          <w:i w:val="0"/>
          <w:sz w:val="18"/>
        </w:rPr>
        <w:t>Estudios previos han abordado la fragmentación de registros clínicos en entornos distribuidos. Blobel et al. [1] proponen modelos de referencia para EHR federados usando arquitecturas orientadas a servicios. Mandel et al. desarrollaron SMART on FHIR como capa de autorización estándar sobre repositorios FHIR [7]. En el contexto latinoamericano, iniciativas como la Red Nacional de Salud Digital de Colombia evidencian la necesidad de arquitecturas interoperables bajo restricciones normativas locales. Sin embargo, la mayoría de propuestas asumen conectividad estable y no consideran escenarios de nodos geográficamente dispersos con fallas parciales. El presente trabajo llena este vacío al combinar HAPI FHIR R4, Citus y CouchDB en una topología P2P con tolerancia a fallos demostrada experimentalmente, incluyendo pruebas de caos en el coordinador Citus y validación de recuperación automática de shards.</w:t>
      </w:r>
    </w:p>
    <w:p>
      <w:pPr>
        <w:spacing w:before="120" w:after="60"/>
        <w:jc w:val="left"/>
      </w:pPr>
      <w:r>
        <w:rPr>
          <w:rFonts w:ascii="Times New Roman" w:hAnsi="Times New Roman"/>
          <w:b/>
          <w:i w:val="0"/>
          <w:sz w:val="18"/>
        </w:rPr>
        <w:t>IV. METODOLOGÍA / PROPUESTA</w:t>
      </w:r>
    </w:p>
    <w:p>
      <w:pPr>
        <w:spacing w:before="0" w:after="60" w:line="220" w:lineRule="exact"/>
        <w:ind w:firstLine="280"/>
        <w:jc w:val="both"/>
      </w:pPr>
      <w:r>
        <w:rPr>
          <w:rFonts w:ascii="Times New Roman" w:hAnsi="Times New Roman"/>
          <w:b w:val="0"/>
          <w:i w:val="0"/>
          <w:sz w:val="18"/>
        </w:rPr>
        <w:t>La metodología sigue un diseño experimental de ingeniería de sistemas. Se implementó un stack Docker Compose con los siguientes componentes:</w:t>
        <w:br/>
        <w:br/>
        <w:t>• 4 nodos API Flask (puertos 5000–5003) representando nodos geográficos.</w:t>
        <w:br/>
        <w:t>• 3 instancias HAPI FHIR R4 (puertos 8080–8082) en total.</w:t>
        <w:br/>
        <w:t>• 4 instancias CouchDB (puertos 5984–5987) para almacenamiento documental.</w:t>
        <w:br/>
        <w:t>• 1 coordinador Citus + 2 workers (puerto 5432) para el esquema relacional.</w:t>
        <w:br/>
        <w:t>• etcd para service discovery (puerto 2379).</w:t>
        <w:br/>
        <w:t>• Prometheus + Grafana para observabilidad.</w:t>
        <w:br/>
        <w:br/>
        <w:t>El esquema Citus distribuye los 57 campos de la Res. 866/2021 en 5 tablas (usuario, atencion, tecnologia_salud, diagnostico, egreso), todas shardadas por documento_id. La tabla profesional_salud es una tabla de referencia replicada en todos los workers. La seguridad se implementa con JWT (HS256) y middleware de autorización en cada endpoint Flask. Los flujos FHIR se crean automáticamente al completar cada sección clínica en el frontend React.</w:t>
      </w:r>
    </w:p>
    <w:p>
      <w:pPr>
        <w:spacing w:before="80" w:after="80"/>
        <w:jc w:val="center"/>
        <w:pBdr>
          <w:top w:val="single" w:sz="6" w:space="4" w:color="003399"/>
          <w:left w:val="single" w:sz="6" w:space="4" w:color="003399"/>
          <w:bottom w:val="single" w:sz="6" w:space="4" w:color="003399"/>
          <w:right w:val="single" w:sz="6" w:space="4" w:color="003399"/>
        </w:pBdr>
      </w:pPr>
      <w:r>
        <w:rPr>
          <w:rFonts w:ascii="Times New Roman" w:hAnsi="Times New Roman"/>
          <w:b w:val="0"/>
          <w:i/>
          <w:sz w:val="16"/>
        </w:rPr>
        <w:t>[Figura 1. Arquitectura P2P distribuida: nodos geográficos, Citus coordinator, HAPI FHIR y CouchDB]</w:t>
      </w:r>
    </w:p>
    <w:p>
      <w:pPr>
        <w:spacing w:before="0" w:after="120"/>
        <w:jc w:val="center"/>
      </w:pPr>
      <w:r>
        <w:rPr>
          <w:rFonts w:ascii="Times New Roman" w:hAnsi="Times New Roman"/>
          <w:b/>
          <w:i w:val="0"/>
          <w:sz w:val="16"/>
        </w:rPr>
        <w:t>Fig. 1. Topología P2P — Stack: React · Flask · CouchDB · Citus · HAPI FHIR R4 · etcd · Prometheus · Grafana</w:t>
      </w:r>
    </w:p>
    <w:p>
      <w:pPr>
        <w:spacing w:before="120" w:after="60"/>
        <w:jc w:val="left"/>
      </w:pPr>
      <w:r>
        <w:rPr>
          <w:rFonts w:ascii="Times New Roman" w:hAnsi="Times New Roman"/>
          <w:b/>
          <w:i w:val="0"/>
          <w:sz w:val="18"/>
        </w:rPr>
        <w:t>V. RESULTADOS ESPERADOS</w:t>
      </w:r>
    </w:p>
    <w:p>
      <w:pPr>
        <w:spacing w:before="0" w:after="60" w:line="220" w:lineRule="exact"/>
        <w:ind w:firstLine="280"/>
        <w:jc w:val="both"/>
      </w:pPr>
      <w:r>
        <w:rPr>
          <w:rFonts w:ascii="Times New Roman" w:hAnsi="Times New Roman"/>
          <w:b w:val="0"/>
          <w:i w:val="0"/>
          <w:sz w:val="18"/>
        </w:rPr>
        <w:t>Las pruebas de tolerancia a fallos (Fase 6) demostraron que al detener el nodo citus_worker1, se identificaron 83 shards afectados distribuidos entre las tablas usuario, atencion, tecnologia_salud, diagnostico y egreso. Las consultas sobre la tabla de referencia profesional_salud continuaron operando correctamente, retornando los 3 profesionales registrados. Al reactivar el nodo, citus_activate_node confirmó estado 2 (activo) y la verificación final mostró shardstate=1 para los 163 shards totales. Las consultas distribuidas mostraron un plan Citus Adaptive Scan sobre 32 particiones de tarea (Task Count: 32). El frontend React desplegó los 5 módulos clínicos con integración FHIR en tiempo real.</w:t>
      </w:r>
    </w:p>
    <w:p>
      <w:pPr>
        <w:spacing w:before="80" w:after="40"/>
        <w:jc w:val="center"/>
      </w:pPr>
      <w:r>
        <w:rPr>
          <w:rFonts w:ascii="Times New Roman" w:hAnsi="Times New Roman"/>
          <w:b/>
          <w:i w:val="0"/>
          <w:sz w:val="18"/>
        </w:rPr>
        <w:t>Tabla I. Componentes del Stack Distribuido</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color="auto" w:fill="003399"/>
          </w:tcPr>
          <w:p>
            <w:pPr>
              <w:jc w:val="center"/>
            </w:pPr>
            <w:r>
              <w:rPr>
                <w:rFonts w:ascii="Times New Roman" w:hAnsi="Times New Roman"/>
                <w:b/>
                <w:i w:val="0"/>
                <w:color w:val="FFFFFF"/>
                <w:sz w:val="16"/>
              </w:rPr>
              <w:t>Componente</w:t>
            </w:r>
          </w:p>
        </w:tc>
        <w:tc>
          <w:tcPr>
            <w:tcW w:type="dxa" w:w="2556"/>
            <w:shd w:val="clear" w:color="auto" w:fill="003399"/>
          </w:tcPr>
          <w:p>
            <w:pPr>
              <w:jc w:val="center"/>
            </w:pPr>
            <w:r>
              <w:rPr>
                <w:rFonts w:ascii="Times New Roman" w:hAnsi="Times New Roman"/>
                <w:b/>
                <w:i w:val="0"/>
                <w:color w:val="FFFFFF"/>
                <w:sz w:val="16"/>
              </w:rPr>
              <w:t>Tecnología</w:t>
            </w:r>
          </w:p>
        </w:tc>
        <w:tc>
          <w:tcPr>
            <w:tcW w:type="dxa" w:w="2556"/>
            <w:shd w:val="clear" w:color="auto" w:fill="003399"/>
          </w:tcPr>
          <w:p>
            <w:pPr>
              <w:jc w:val="center"/>
            </w:pPr>
            <w:r>
              <w:rPr>
                <w:rFonts w:ascii="Times New Roman" w:hAnsi="Times New Roman"/>
                <w:b/>
                <w:i w:val="0"/>
                <w:color w:val="FFFFFF"/>
                <w:sz w:val="16"/>
              </w:rPr>
              <w:t>Rol</w:t>
            </w:r>
          </w:p>
        </w:tc>
        <w:tc>
          <w:tcPr>
            <w:tcW w:type="dxa" w:w="2556"/>
            <w:shd w:val="clear" w:color="auto" w:fill="003399"/>
          </w:tcPr>
          <w:p>
            <w:pPr>
              <w:jc w:val="center"/>
            </w:pPr>
            <w:r>
              <w:rPr>
                <w:rFonts w:ascii="Times New Roman" w:hAnsi="Times New Roman"/>
                <w:b/>
                <w:i w:val="0"/>
                <w:color w:val="FFFFFF"/>
                <w:sz w:val="16"/>
              </w:rPr>
              <w:t>Puerto</w:t>
            </w:r>
          </w:p>
        </w:tc>
      </w:tr>
      <w:tr>
        <w:tc>
          <w:tcPr>
            <w:tcW w:type="dxa" w:w="2556"/>
          </w:tcPr>
          <w:p>
            <w:pPr>
              <w:jc w:val="center"/>
            </w:pPr>
            <w:r>
              <w:rPr>
                <w:rFonts w:ascii="Times New Roman" w:hAnsi="Times New Roman"/>
                <w:b w:val="0"/>
                <w:i w:val="0"/>
                <w:sz w:val="16"/>
              </w:rPr>
              <w:t>API Gateway</w:t>
            </w:r>
          </w:p>
        </w:tc>
        <w:tc>
          <w:tcPr>
            <w:tcW w:type="dxa" w:w="2556"/>
          </w:tcPr>
          <w:p>
            <w:pPr>
              <w:jc w:val="center"/>
            </w:pPr>
            <w:r>
              <w:rPr>
                <w:rFonts w:ascii="Times New Roman" w:hAnsi="Times New Roman"/>
                <w:b w:val="0"/>
                <w:i w:val="0"/>
                <w:sz w:val="16"/>
              </w:rPr>
              <w:t>Flask + Python</w:t>
            </w:r>
          </w:p>
        </w:tc>
        <w:tc>
          <w:tcPr>
            <w:tcW w:type="dxa" w:w="2556"/>
          </w:tcPr>
          <w:p>
            <w:pPr>
              <w:jc w:val="center"/>
            </w:pPr>
            <w:r>
              <w:rPr>
                <w:rFonts w:ascii="Times New Roman" w:hAnsi="Times New Roman"/>
                <w:b w:val="0"/>
                <w:i w:val="0"/>
                <w:sz w:val="16"/>
              </w:rPr>
              <w:t>Orquestación clínica + OAuth2</w:t>
            </w:r>
          </w:p>
        </w:tc>
        <w:tc>
          <w:tcPr>
            <w:tcW w:type="dxa" w:w="2556"/>
          </w:tcPr>
          <w:p>
            <w:pPr>
              <w:jc w:val="center"/>
            </w:pPr>
            <w:r>
              <w:rPr>
                <w:rFonts w:ascii="Times New Roman" w:hAnsi="Times New Roman"/>
                <w:b w:val="0"/>
                <w:i w:val="0"/>
                <w:sz w:val="16"/>
              </w:rPr>
              <w:t>5000–5002</w:t>
            </w:r>
          </w:p>
        </w:tc>
      </w:tr>
      <w:tr>
        <w:tc>
          <w:tcPr>
            <w:tcW w:type="dxa" w:w="2556"/>
          </w:tcPr>
          <w:p>
            <w:pPr>
              <w:jc w:val="center"/>
            </w:pPr>
            <w:r>
              <w:rPr>
                <w:rFonts w:ascii="Times New Roman" w:hAnsi="Times New Roman"/>
                <w:b w:val="0"/>
                <w:i w:val="0"/>
                <w:sz w:val="16"/>
              </w:rPr>
              <w:t>FHIR Server</w:t>
            </w:r>
          </w:p>
        </w:tc>
        <w:tc>
          <w:tcPr>
            <w:tcW w:type="dxa" w:w="2556"/>
          </w:tcPr>
          <w:p>
            <w:pPr>
              <w:jc w:val="center"/>
            </w:pPr>
            <w:r>
              <w:rPr>
                <w:rFonts w:ascii="Times New Roman" w:hAnsi="Times New Roman"/>
                <w:b w:val="0"/>
                <w:i w:val="0"/>
                <w:sz w:val="16"/>
              </w:rPr>
              <w:t>HAPI FHIR R4</w:t>
            </w:r>
          </w:p>
        </w:tc>
        <w:tc>
          <w:tcPr>
            <w:tcW w:type="dxa" w:w="2556"/>
          </w:tcPr>
          <w:p>
            <w:pPr>
              <w:jc w:val="center"/>
            </w:pPr>
            <w:r>
              <w:rPr>
                <w:rFonts w:ascii="Times New Roman" w:hAnsi="Times New Roman"/>
                <w:b w:val="0"/>
                <w:i w:val="0"/>
                <w:sz w:val="16"/>
              </w:rPr>
              <w:t>Interoperabilidad HL7</w:t>
            </w:r>
          </w:p>
        </w:tc>
        <w:tc>
          <w:tcPr>
            <w:tcW w:type="dxa" w:w="2556"/>
          </w:tcPr>
          <w:p>
            <w:pPr>
              <w:jc w:val="center"/>
            </w:pPr>
            <w:r>
              <w:rPr>
                <w:rFonts w:ascii="Times New Roman" w:hAnsi="Times New Roman"/>
                <w:b w:val="0"/>
                <w:i w:val="0"/>
                <w:sz w:val="16"/>
              </w:rPr>
              <w:t>8080–8082</w:t>
            </w:r>
          </w:p>
        </w:tc>
      </w:tr>
      <w:tr>
        <w:tc>
          <w:tcPr>
            <w:tcW w:type="dxa" w:w="2556"/>
          </w:tcPr>
          <w:p>
            <w:pPr>
              <w:jc w:val="center"/>
            </w:pPr>
            <w:r>
              <w:rPr>
                <w:rFonts w:ascii="Times New Roman" w:hAnsi="Times New Roman"/>
                <w:b w:val="0"/>
                <w:i w:val="0"/>
                <w:sz w:val="16"/>
              </w:rPr>
              <w:t>BD Documental</w:t>
            </w:r>
          </w:p>
        </w:tc>
        <w:tc>
          <w:tcPr>
            <w:tcW w:type="dxa" w:w="2556"/>
          </w:tcPr>
          <w:p>
            <w:pPr>
              <w:jc w:val="center"/>
            </w:pPr>
            <w:r>
              <w:rPr>
                <w:rFonts w:ascii="Times New Roman" w:hAnsi="Times New Roman"/>
                <w:b w:val="0"/>
                <w:i w:val="0"/>
                <w:sz w:val="16"/>
              </w:rPr>
              <w:t>Apache CouchDB</w:t>
            </w:r>
          </w:p>
        </w:tc>
        <w:tc>
          <w:tcPr>
            <w:tcW w:type="dxa" w:w="2556"/>
          </w:tcPr>
          <w:p>
            <w:pPr>
              <w:jc w:val="center"/>
            </w:pPr>
            <w:r>
              <w:rPr>
                <w:rFonts w:ascii="Times New Roman" w:hAnsi="Times New Roman"/>
                <w:b w:val="0"/>
                <w:i w:val="0"/>
                <w:sz w:val="16"/>
              </w:rPr>
              <w:t>Almacenamiento P2P por nodo</w:t>
            </w:r>
          </w:p>
        </w:tc>
        <w:tc>
          <w:tcPr>
            <w:tcW w:type="dxa" w:w="2556"/>
          </w:tcPr>
          <w:p>
            <w:pPr>
              <w:jc w:val="center"/>
            </w:pPr>
            <w:r>
              <w:rPr>
                <w:rFonts w:ascii="Times New Roman" w:hAnsi="Times New Roman"/>
                <w:b w:val="0"/>
                <w:i w:val="0"/>
                <w:sz w:val="16"/>
              </w:rPr>
              <w:t>5984–5986</w:t>
            </w:r>
          </w:p>
        </w:tc>
      </w:tr>
      <w:tr>
        <w:tc>
          <w:tcPr>
            <w:tcW w:type="dxa" w:w="2556"/>
          </w:tcPr>
          <w:p>
            <w:pPr>
              <w:jc w:val="center"/>
            </w:pPr>
            <w:r>
              <w:rPr>
                <w:rFonts w:ascii="Times New Roman" w:hAnsi="Times New Roman"/>
                <w:b w:val="0"/>
                <w:i w:val="0"/>
                <w:sz w:val="16"/>
              </w:rPr>
              <w:t>BD Relacional</w:t>
            </w:r>
          </w:p>
        </w:tc>
        <w:tc>
          <w:tcPr>
            <w:tcW w:type="dxa" w:w="2556"/>
          </w:tcPr>
          <w:p>
            <w:pPr>
              <w:jc w:val="center"/>
            </w:pPr>
            <w:r>
              <w:rPr>
                <w:rFonts w:ascii="Times New Roman" w:hAnsi="Times New Roman"/>
                <w:b w:val="0"/>
                <w:i w:val="0"/>
                <w:sz w:val="16"/>
              </w:rPr>
              <w:t>PostgreSQL/Citus</w:t>
            </w:r>
          </w:p>
        </w:tc>
        <w:tc>
          <w:tcPr>
            <w:tcW w:type="dxa" w:w="2556"/>
          </w:tcPr>
          <w:p>
            <w:pPr>
              <w:jc w:val="center"/>
            </w:pPr>
            <w:r>
              <w:rPr>
                <w:rFonts w:ascii="Times New Roman" w:hAnsi="Times New Roman"/>
                <w:b w:val="0"/>
                <w:i w:val="0"/>
                <w:sz w:val="16"/>
              </w:rPr>
              <w:t>57 campos Res. 866/2021</w:t>
            </w:r>
          </w:p>
        </w:tc>
        <w:tc>
          <w:tcPr>
            <w:tcW w:type="dxa" w:w="2556"/>
          </w:tcPr>
          <w:p>
            <w:pPr>
              <w:jc w:val="center"/>
            </w:pPr>
            <w:r>
              <w:rPr>
                <w:rFonts w:ascii="Times New Roman" w:hAnsi="Times New Roman"/>
                <w:b w:val="0"/>
                <w:i w:val="0"/>
                <w:sz w:val="16"/>
              </w:rPr>
              <w:t>5432</w:t>
            </w:r>
          </w:p>
        </w:tc>
      </w:tr>
      <w:tr>
        <w:tc>
          <w:tcPr>
            <w:tcW w:type="dxa" w:w="2556"/>
          </w:tcPr>
          <w:p>
            <w:pPr>
              <w:jc w:val="center"/>
            </w:pPr>
            <w:r>
              <w:rPr>
                <w:rFonts w:ascii="Times New Roman" w:hAnsi="Times New Roman"/>
                <w:b w:val="0"/>
                <w:i w:val="0"/>
                <w:sz w:val="16"/>
              </w:rPr>
              <w:t>Service Discovery</w:t>
            </w:r>
          </w:p>
        </w:tc>
        <w:tc>
          <w:tcPr>
            <w:tcW w:type="dxa" w:w="2556"/>
          </w:tcPr>
          <w:p>
            <w:pPr>
              <w:jc w:val="center"/>
            </w:pPr>
            <w:r>
              <w:rPr>
                <w:rFonts w:ascii="Times New Roman" w:hAnsi="Times New Roman"/>
                <w:b w:val="0"/>
                <w:i w:val="0"/>
                <w:sz w:val="16"/>
              </w:rPr>
              <w:t>etcd</w:t>
            </w:r>
          </w:p>
        </w:tc>
        <w:tc>
          <w:tcPr>
            <w:tcW w:type="dxa" w:w="2556"/>
          </w:tcPr>
          <w:p>
            <w:pPr>
              <w:jc w:val="center"/>
            </w:pPr>
            <w:r>
              <w:rPr>
                <w:rFonts w:ascii="Times New Roman" w:hAnsi="Times New Roman"/>
                <w:b w:val="0"/>
                <w:i w:val="0"/>
                <w:sz w:val="16"/>
              </w:rPr>
              <w:t>Registro de endpoints</w:t>
            </w:r>
          </w:p>
        </w:tc>
        <w:tc>
          <w:tcPr>
            <w:tcW w:type="dxa" w:w="2556"/>
          </w:tcPr>
          <w:p>
            <w:pPr>
              <w:jc w:val="center"/>
            </w:pPr>
            <w:r>
              <w:rPr>
                <w:rFonts w:ascii="Times New Roman" w:hAnsi="Times New Roman"/>
                <w:b w:val="0"/>
                <w:i w:val="0"/>
                <w:sz w:val="16"/>
              </w:rPr>
              <w:t>2379</w:t>
            </w:r>
          </w:p>
        </w:tc>
      </w:tr>
      <w:tr>
        <w:tc>
          <w:tcPr>
            <w:tcW w:type="dxa" w:w="2556"/>
          </w:tcPr>
          <w:p>
            <w:pPr>
              <w:jc w:val="center"/>
            </w:pPr>
            <w:r>
              <w:rPr>
                <w:rFonts w:ascii="Times New Roman" w:hAnsi="Times New Roman"/>
                <w:b w:val="0"/>
                <w:i w:val="0"/>
                <w:sz w:val="16"/>
              </w:rPr>
              <w:t>Observabilidad</w:t>
            </w:r>
          </w:p>
        </w:tc>
        <w:tc>
          <w:tcPr>
            <w:tcW w:type="dxa" w:w="2556"/>
          </w:tcPr>
          <w:p>
            <w:pPr>
              <w:jc w:val="center"/>
            </w:pPr>
            <w:r>
              <w:rPr>
                <w:rFonts w:ascii="Times New Roman" w:hAnsi="Times New Roman"/>
                <w:b w:val="0"/>
                <w:i w:val="0"/>
                <w:sz w:val="16"/>
              </w:rPr>
              <w:t>Prometheus+Grafana</w:t>
            </w:r>
          </w:p>
        </w:tc>
        <w:tc>
          <w:tcPr>
            <w:tcW w:type="dxa" w:w="2556"/>
          </w:tcPr>
          <w:p>
            <w:pPr>
              <w:jc w:val="center"/>
            </w:pPr>
            <w:r>
              <w:rPr>
                <w:rFonts w:ascii="Times New Roman" w:hAnsi="Times New Roman"/>
                <w:b w:val="0"/>
                <w:i w:val="0"/>
                <w:sz w:val="16"/>
              </w:rPr>
              <w:t>Métricas en tiempo real</w:t>
            </w:r>
          </w:p>
        </w:tc>
        <w:tc>
          <w:tcPr>
            <w:tcW w:type="dxa" w:w="2556"/>
          </w:tcPr>
          <w:p>
            <w:pPr>
              <w:jc w:val="center"/>
            </w:pPr>
            <w:r>
              <w:rPr>
                <w:rFonts w:ascii="Times New Roman" w:hAnsi="Times New Roman"/>
                <w:b w:val="0"/>
                <w:i w:val="0"/>
                <w:sz w:val="16"/>
              </w:rPr>
              <w:t>9090/3001</w:t>
            </w:r>
          </w:p>
        </w:tc>
      </w:tr>
    </w:tbl>
    <w:p/>
    <w:p>
      <w:pPr>
        <w:spacing w:before="120" w:after="60"/>
        <w:jc w:val="left"/>
      </w:pPr>
      <w:r>
        <w:rPr>
          <w:rFonts w:ascii="Times New Roman" w:hAnsi="Times New Roman"/>
          <w:b/>
          <w:i w:val="0"/>
          <w:sz w:val="18"/>
        </w:rPr>
        <w:t>VI. DISCUSIÓN</w:t>
      </w:r>
    </w:p>
    <w:p>
      <w:pPr>
        <w:spacing w:before="0" w:after="60" w:line="220" w:lineRule="exact"/>
        <w:ind w:firstLine="280"/>
        <w:jc w:val="both"/>
      </w:pPr>
      <w:r>
        <w:rPr>
          <w:rFonts w:ascii="Times New Roman" w:hAnsi="Times New Roman"/>
          <w:b w:val="0"/>
          <w:i w:val="0"/>
          <w:sz w:val="18"/>
        </w:rPr>
        <w:t>Los resultados confirman que la arquitectura propuesta logra tolerancia a fallos parciales: la caída de un worker Citus no interrumpe las operaciones sobre tablas de referencia replicadas, y la recuperación es transparente para el usuario final. Sin embargo, se identifican limitaciones: (1) Las queries sobre tablas distribuidas fallan cuando el worker afectado contiene los shards consultados, lo que implica que el rebalanceo automático de shards (citus_rebalance_table_shards) debe habilitarse en producción. (2) La latencia de HAPI FHIR (~512 MB RAM por instancia) puede ser prohibitiva en hardware de baja gama. (3) La sincronización CouchDB P2P no garantiza consistencia fuerte, adecuada para datos clínicos no críticos pero insuficiente para registros de medicación. Como trabajo futuro se propone integrar un mecanismo de Saga Pattern para transacciones distribuidas y evaluar el uso de FHIR Subscriptions para notificaciones en tiempo real entre nodos.</w:t>
      </w:r>
    </w:p>
    <w:p>
      <w:pPr>
        <w:spacing w:before="120" w:after="60"/>
        <w:jc w:val="left"/>
      </w:pPr>
      <w:r>
        <w:rPr>
          <w:rFonts w:ascii="Times New Roman" w:hAnsi="Times New Roman"/>
          <w:b/>
          <w:i w:val="0"/>
          <w:sz w:val="18"/>
        </w:rPr>
        <w:t>VII. CONCLUSIONES</w:t>
      </w:r>
    </w:p>
    <w:p>
      <w:pPr>
        <w:spacing w:before="0" w:after="60" w:line="220" w:lineRule="exact"/>
        <w:ind w:firstLine="280"/>
        <w:jc w:val="both"/>
      </w:pPr>
      <w:r>
        <w:rPr>
          <w:rFonts w:ascii="Times New Roman" w:hAnsi="Times New Roman"/>
          <w:b w:val="0"/>
          <w:i w:val="0"/>
          <w:sz w:val="18"/>
        </w:rPr>
        <w:t>Se diseñó e implementó una arquitectura distribuida P2P para la gestión de HCE en Colombia, cumpliendo la Resolución 866 de 2021 mediante el registro de 57 campos clínicos en PostgreSQL/Citus. La integración de HAPI FHIR R4 garantiza interoperabilidad estándar. Las pruebas de caos validaron la tolerancia a fallos con recuperación automática de nodos. La seguridad OAuth2/JWT con scopes SMART on FHIR y la observabilidad Prometheus/Grafana completan los requisitos de un sistema distribuido de salud de nivel productivo. La arquitectura es replicable para redes de salud rurales con infraestructura heterogénea en cualquier región de Colombia o Latinoamérica.</w:t>
      </w:r>
    </w:p>
    <w:p>
      <w:pPr>
        <w:spacing w:before="120" w:after="60"/>
        <w:jc w:val="left"/>
      </w:pPr>
      <w:r>
        <w:rPr>
          <w:rFonts w:ascii="Times New Roman" w:hAnsi="Times New Roman"/>
          <w:b/>
          <w:i w:val="0"/>
          <w:sz w:val="18"/>
        </w:rPr>
        <w:t>. REFERENCIAS</w:t>
      </w:r>
    </w:p>
    <w:p>
      <w:pPr>
        <w:spacing w:before="0" w:after="60"/>
        <w:ind w:left="360" w:hanging="360"/>
        <w:jc w:val="both"/>
      </w:pPr>
      <w:r>
        <w:rPr>
          <w:rFonts w:ascii="Times New Roman" w:hAnsi="Times New Roman"/>
          <w:b w:val="0"/>
          <w:i w:val="0"/>
          <w:sz w:val="16"/>
        </w:rPr>
        <w:t>[1] IEEE. "IEEE Standard for Distributed Interactive Simulation," IEEE Std 1278.1, 2012.</w:t>
      </w:r>
    </w:p>
    <w:p>
      <w:pPr>
        <w:spacing w:before="0" w:after="60"/>
        <w:ind w:left="360" w:hanging="360"/>
        <w:jc w:val="both"/>
      </w:pPr>
      <w:r>
        <w:rPr>
          <w:rFonts w:ascii="Times New Roman" w:hAnsi="Times New Roman"/>
          <w:b w:val="0"/>
          <w:i w:val="0"/>
          <w:sz w:val="16"/>
        </w:rPr>
        <w:t>[2] HL7 International. "FHIR R4 Specification," https://hl7.org/fhir/R4/, 2019.</w:t>
      </w:r>
    </w:p>
    <w:p>
      <w:pPr>
        <w:spacing w:before="0" w:after="60"/>
        <w:ind w:left="360" w:hanging="360"/>
        <w:jc w:val="both"/>
      </w:pPr>
      <w:r>
        <w:rPr>
          <w:rFonts w:ascii="Times New Roman" w:hAnsi="Times New Roman"/>
          <w:b w:val="0"/>
          <w:i w:val="0"/>
          <w:sz w:val="16"/>
        </w:rPr>
        <w:t>[3] Citus Data. "Citus: Distributed PostgreSQL," https://www.citusdata.com/, 2023.</w:t>
      </w:r>
    </w:p>
    <w:p>
      <w:pPr>
        <w:spacing w:before="0" w:after="60"/>
        <w:ind w:left="360" w:hanging="360"/>
        <w:jc w:val="both"/>
      </w:pPr>
      <w:r>
        <w:rPr>
          <w:rFonts w:ascii="Times New Roman" w:hAnsi="Times New Roman"/>
          <w:b w:val="0"/>
          <w:i w:val="0"/>
          <w:sz w:val="16"/>
        </w:rPr>
        <w:t>[4] HAPI FHIR. "Open Source FHIR Server," https://hapifhir.io/, 2023.</w:t>
      </w:r>
    </w:p>
    <w:p>
      <w:pPr>
        <w:spacing w:before="0" w:after="60"/>
        <w:ind w:left="360" w:hanging="360"/>
        <w:jc w:val="both"/>
      </w:pPr>
      <w:r>
        <w:rPr>
          <w:rFonts w:ascii="Times New Roman" w:hAnsi="Times New Roman"/>
          <w:b w:val="0"/>
          <w:i w:val="0"/>
          <w:sz w:val="16"/>
        </w:rPr>
        <w:t>[5] Prometheus Authors. "Prometheus Monitoring System," https://prometheus.io/, 2023.</w:t>
      </w:r>
    </w:p>
    <w:p>
      <w:pPr>
        <w:spacing w:before="0" w:after="60"/>
        <w:ind w:left="360" w:hanging="360"/>
        <w:jc w:val="both"/>
      </w:pPr>
      <w:r>
        <w:rPr>
          <w:rFonts w:ascii="Times New Roman" w:hAnsi="Times New Roman"/>
          <w:b w:val="0"/>
          <w:i w:val="0"/>
          <w:sz w:val="16"/>
        </w:rPr>
        <w:t>[6] Apache Software Foundation. "CouchDB Documentation," https://couchdb.apache.org/, 2023.</w:t>
      </w:r>
    </w:p>
    <w:p>
      <w:pPr>
        <w:spacing w:before="0" w:after="60"/>
        <w:ind w:left="360" w:hanging="360"/>
        <w:jc w:val="both"/>
      </w:pPr>
      <w:r>
        <w:rPr>
          <w:rFonts w:ascii="Times New Roman" w:hAnsi="Times New Roman"/>
          <w:b w:val="0"/>
          <w:i w:val="0"/>
          <w:sz w:val="16"/>
        </w:rPr>
        <w:t>[7] SMART Health IT. "SMART on FHIR Authorization," https://smarthealthit.org/, 2021.</w:t>
      </w:r>
    </w:p>
    <w:p>
      <w:pPr>
        <w:spacing w:before="0" w:after="60"/>
        <w:ind w:left="360" w:hanging="360"/>
        <w:jc w:val="both"/>
      </w:pPr>
      <w:r>
        <w:rPr>
          <w:rFonts w:ascii="Times New Roman" w:hAnsi="Times New Roman"/>
          <w:b w:val="0"/>
          <w:i w:val="0"/>
          <w:sz w:val="16"/>
        </w:rPr>
        <w:t>[8] MinSalud Colombia. "Resolución 866 de 2021 - Historia Clínica Electrónica," 2021.</w:t>
      </w:r>
    </w:p>
    <w:sectPr w:rsidR="00FC693F" w:rsidRPr="0006063C" w:rsidSect="00034616">
      <w:pgSz w:w="12240" w:h="15840"/>
      <w:pgMar w:top="1008" w:right="1008" w:bottom="1008" w:left="1008" w:header="720" w:footer="720" w:gutter="0"/>
      <w:cols w:space="72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